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tblpPr w:leftFromText="180" w:rightFromText="180" w:vertAnchor="text" w:horzAnchor="margin" w:tblpY="-147"/>
        <w:bidiVisual/>
        <w:tblW w:w="82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41"/>
        <w:gridCol w:w="2347"/>
        <w:gridCol w:w="5237"/>
      </w:tblGrid>
      <w:tr w:rsidR="00732FCC" w:rsidTr="008435A5">
        <w:tc>
          <w:tcPr>
            <w:tcW w:w="499" w:type="dxa"/>
          </w:tcPr>
          <w:p w:rsidR="00732FCC" w:rsidRPr="00DD05A8" w:rsidRDefault="00732FCC" w:rsidP="00732FCC">
            <w:pPr>
              <w:suppressLineNumbers/>
              <w:jc w:val="both"/>
              <w:rPr>
                <w:rFonts w:ascii="Arial" w:hAnsi="Arial"/>
                <w:b/>
                <w:bCs/>
                <w:sz w:val="26"/>
                <w:szCs w:val="26"/>
                <w:rtl/>
              </w:rPr>
            </w:pPr>
            <w:bookmarkStart w:id="0" w:name="_GoBack"/>
            <w:bookmarkEnd w:id="0"/>
            <w:r w:rsidRPr="00DD05A8">
              <w:rPr>
                <w:rFonts w:ascii="Arial" w:hAnsi="Arial" w:hint="cs"/>
                <w:b/>
                <w:bCs/>
                <w:sz w:val="26"/>
                <w:szCs w:val="26"/>
                <w:rtl/>
              </w:rPr>
              <w:t>ב</w:t>
            </w:r>
            <w:r w:rsidRPr="00DD05A8">
              <w:rPr>
                <w:rFonts w:ascii="Arial" w:hAnsi="Arial"/>
                <w:b/>
                <w:bCs/>
                <w:sz w:val="26"/>
                <w:szCs w:val="26"/>
                <w:rtl/>
              </w:rPr>
              <w:t xml:space="preserve">פני </w:t>
            </w:r>
          </w:p>
        </w:tc>
        <w:tc>
          <w:tcPr>
            <w:tcW w:w="7726" w:type="dxa"/>
            <w:gridSpan w:val="2"/>
          </w:tcPr>
          <w:p w:rsidR="00732FCC" w:rsidRPr="00DD05A8" w:rsidRDefault="00732FCC" w:rsidP="00732FCC">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אספרנצה אלון</w:t>
                </w:r>
              </w:sdtContent>
            </w:sdt>
          </w:p>
          <w:p w:rsidR="00732FCC" w:rsidRPr="00DD05A8" w:rsidRDefault="00732FCC" w:rsidP="00732FCC">
            <w:pPr>
              <w:suppressLineNumbers/>
              <w:rPr>
                <w:rFonts w:ascii="Arial" w:hAnsi="Arial" w:cs="FrankRuehl"/>
                <w:sz w:val="26"/>
                <w:szCs w:val="26"/>
                <w:highlight w:val="yellow"/>
              </w:rPr>
            </w:pPr>
          </w:p>
        </w:tc>
      </w:tr>
      <w:tr w:rsidR="00732FCC" w:rsidTr="008435A5">
        <w:tc>
          <w:tcPr>
            <w:tcW w:w="2891" w:type="dxa"/>
            <w:gridSpan w:val="2"/>
          </w:tcPr>
          <w:p w:rsidR="00732FCC" w:rsidRDefault="00732FCC" w:rsidP="00732FCC">
            <w:pPr>
              <w:suppressLineNumbers/>
              <w:rPr>
                <w:rFonts w:ascii="Arial" w:hAnsi="Arial"/>
                <w:b/>
                <w:bCs/>
                <w:noProof w:val="0"/>
                <w:sz w:val="26"/>
                <w:szCs w:val="26"/>
                <w:rtl/>
              </w:rPr>
            </w:pPr>
            <w:r>
              <w:rPr>
                <w:rFonts w:ascii="Arial" w:hAnsi="Arial" w:hint="cs"/>
                <w:b/>
                <w:bCs/>
                <w:noProof w:val="0"/>
                <w:sz w:val="26"/>
                <w:szCs w:val="26"/>
                <w:rtl/>
              </w:rPr>
              <w:t>המבקש</w:t>
            </w:r>
          </w:p>
        </w:tc>
        <w:tc>
          <w:tcPr>
            <w:tcW w:w="5334" w:type="dxa"/>
          </w:tcPr>
          <w:p w:rsidR="00732FCC" w:rsidRDefault="00732FCC" w:rsidP="00596AF2">
            <w:pPr>
              <w:suppressLineNumbers/>
              <w:rPr>
                <w:rtl/>
              </w:rPr>
            </w:pPr>
            <w:r>
              <w:rPr>
                <w:rFonts w:ascii="Arial" w:hAnsi="Arial" w:hint="eastAsia"/>
                <w:b/>
                <w:bCs/>
                <w:noProof w:val="0"/>
                <w:sz w:val="26"/>
                <w:szCs w:val="26"/>
                <w:rtl/>
              </w:rPr>
              <w:t>ח</w:t>
            </w:r>
            <w:r w:rsidR="00596AF2">
              <w:rPr>
                <w:rFonts w:ascii="Arial" w:hAnsi="Arial" w:hint="cs"/>
                <w:b/>
                <w:bCs/>
                <w:noProof w:val="0"/>
                <w:sz w:val="26"/>
                <w:szCs w:val="26"/>
                <w:rtl/>
              </w:rPr>
              <w:t>'</w:t>
            </w:r>
            <w:r>
              <w:rPr>
                <w:rFonts w:hint="cs"/>
                <w:rtl/>
              </w:rPr>
              <w:t xml:space="preserve"> </w:t>
            </w:r>
          </w:p>
          <w:p w:rsidR="00732FCC" w:rsidRDefault="00732FCC" w:rsidP="00732FCC">
            <w:pPr>
              <w:suppressLineNumbers/>
              <w:rPr>
                <w:b/>
                <w:bCs/>
                <w:noProof w:val="0"/>
                <w:sz w:val="26"/>
                <w:szCs w:val="26"/>
              </w:rPr>
            </w:pPr>
            <w:r>
              <w:rPr>
                <w:rFonts w:ascii="Arial" w:hAnsi="Arial"/>
                <w:b/>
                <w:bCs/>
                <w:noProof w:val="0"/>
                <w:sz w:val="26"/>
                <w:szCs w:val="26"/>
                <w:rtl/>
              </w:rPr>
              <w:t>ע"י ב"כ עוה"ד</w:t>
            </w:r>
            <w:r>
              <w:rPr>
                <w:rFonts w:hint="cs"/>
                <w:b/>
                <w:bCs/>
                <w:noProof w:val="0"/>
                <w:sz w:val="26"/>
                <w:szCs w:val="26"/>
                <w:rtl/>
              </w:rPr>
              <w:t xml:space="preserve"> ואפי נאסר אל דין</w:t>
            </w:r>
          </w:p>
        </w:tc>
      </w:tr>
      <w:tr w:rsidR="00732FCC" w:rsidTr="008435A5">
        <w:tc>
          <w:tcPr>
            <w:tcW w:w="8225" w:type="dxa"/>
            <w:gridSpan w:val="3"/>
          </w:tcPr>
          <w:p w:rsidR="00732FCC" w:rsidRDefault="00732FCC" w:rsidP="00732FCC">
            <w:pPr>
              <w:suppressLineNumbers/>
              <w:rPr>
                <w:rFonts w:ascii="Arial" w:hAnsi="Arial"/>
                <w:b/>
                <w:bCs/>
                <w:noProof w:val="0"/>
                <w:sz w:val="26"/>
                <w:szCs w:val="26"/>
                <w:rtl/>
              </w:rPr>
            </w:pPr>
          </w:p>
          <w:p w:rsidR="00732FCC" w:rsidRDefault="00732FCC" w:rsidP="00732FCC">
            <w:pPr>
              <w:suppressLineNumbers/>
              <w:jc w:val="center"/>
              <w:rPr>
                <w:rFonts w:ascii="Arial" w:hAnsi="Arial"/>
                <w:b/>
                <w:bCs/>
                <w:noProof w:val="0"/>
                <w:sz w:val="26"/>
                <w:szCs w:val="26"/>
                <w:rtl/>
              </w:rPr>
            </w:pPr>
            <w:r>
              <w:rPr>
                <w:rFonts w:ascii="Arial" w:hAnsi="Arial"/>
                <w:b/>
                <w:bCs/>
                <w:noProof w:val="0"/>
                <w:sz w:val="26"/>
                <w:szCs w:val="26"/>
                <w:rtl/>
              </w:rPr>
              <w:t>נגד</w:t>
            </w:r>
          </w:p>
          <w:p w:rsidR="00732FCC" w:rsidRDefault="00732FCC" w:rsidP="00732FCC">
            <w:pPr>
              <w:suppressLineNumbers/>
              <w:rPr>
                <w:rFonts w:ascii="Arial" w:hAnsi="Arial"/>
                <w:b/>
                <w:bCs/>
                <w:noProof w:val="0"/>
                <w:sz w:val="26"/>
                <w:szCs w:val="26"/>
              </w:rPr>
            </w:pPr>
          </w:p>
        </w:tc>
      </w:tr>
      <w:tr w:rsidR="00732FCC" w:rsidTr="008435A5">
        <w:tc>
          <w:tcPr>
            <w:tcW w:w="2891" w:type="dxa"/>
            <w:gridSpan w:val="2"/>
          </w:tcPr>
          <w:p w:rsidR="00732FCC" w:rsidRDefault="00C005FF" w:rsidP="00732FCC">
            <w:pPr>
              <w:suppressLineNumbers/>
              <w:rPr>
                <w:rFonts w:ascii="Arial" w:hAnsi="Arial"/>
                <w:b/>
                <w:bCs/>
                <w:noProof w:val="0"/>
                <w:sz w:val="26"/>
                <w:szCs w:val="26"/>
              </w:rPr>
            </w:pPr>
            <w:sdt>
              <w:sdtPr>
                <w:rPr>
                  <w:rtl/>
                </w:rPr>
                <w:alias w:val="1184"/>
                <w:tag w:val="1184"/>
                <w:id w:val="-340621022"/>
                <w:text w:multiLine="1"/>
              </w:sdtPr>
              <w:sdtEndPr/>
              <w:sdtContent>
                <w:r w:rsidR="00732FCC">
                  <w:rPr>
                    <w:rFonts w:ascii="Arial" w:hAnsi="Arial"/>
                    <w:b/>
                    <w:bCs/>
                    <w:noProof w:val="0"/>
                    <w:sz w:val="26"/>
                    <w:szCs w:val="26"/>
                    <w:rtl/>
                  </w:rPr>
                  <w:t>משיבים</w:t>
                </w:r>
              </w:sdtContent>
            </w:sdt>
          </w:p>
        </w:tc>
        <w:tc>
          <w:tcPr>
            <w:tcW w:w="5334" w:type="dxa"/>
          </w:tcPr>
          <w:p w:rsidR="00732FCC" w:rsidRDefault="00C005FF" w:rsidP="00596AF2">
            <w:pPr>
              <w:suppressLineNumbers/>
              <w:rPr>
                <w:rtl/>
              </w:rPr>
            </w:pPr>
            <w:sdt>
              <w:sdtPr>
                <w:rPr>
                  <w:rFonts w:ascii="Arial" w:hAnsi="Arial" w:hint="cs"/>
                  <w:b/>
                  <w:bCs/>
                  <w:sz w:val="26"/>
                  <w:szCs w:val="26"/>
                  <w:rtl/>
                </w:rPr>
                <w:alias w:val="3152"/>
                <w:tag w:val="3152"/>
                <w:id w:val="1920052440"/>
                <w:placeholder>
                  <w:docPart w:val="1410F1BE3C834CB6B99C257F82493DA1"/>
                </w:placeholder>
                <w:text w:multiLine="1"/>
              </w:sdtPr>
              <w:sdtEndPr/>
              <w:sdtContent>
                <w:r w:rsidR="00732FCC">
                  <w:rPr>
                    <w:rFonts w:ascii="Arial" w:hAnsi="Arial" w:hint="cs"/>
                    <w:b/>
                    <w:bCs/>
                    <w:sz w:val="26"/>
                    <w:szCs w:val="26"/>
                    <w:rtl/>
                  </w:rPr>
                  <w:t>1.</w:t>
                </w:r>
                <w:r w:rsidR="00732FCC" w:rsidRPr="008F294F">
                  <w:rPr>
                    <w:rFonts w:ascii="Arial" w:hAnsi="Arial" w:hint="eastAsia"/>
                    <w:b/>
                    <w:bCs/>
                    <w:sz w:val="26"/>
                    <w:szCs w:val="26"/>
                    <w:rtl/>
                  </w:rPr>
                  <w:t>פ</w:t>
                </w:r>
                <w:r w:rsidR="00596AF2">
                  <w:rPr>
                    <w:rFonts w:ascii="Arial" w:hAnsi="Arial" w:hint="cs"/>
                    <w:b/>
                    <w:bCs/>
                    <w:sz w:val="26"/>
                    <w:szCs w:val="26"/>
                    <w:rtl/>
                  </w:rPr>
                  <w:t>'</w:t>
                </w:r>
                <w:r w:rsidR="00732FCC" w:rsidRPr="008F294F">
                  <w:rPr>
                    <w:rFonts w:ascii="Arial" w:hAnsi="Arial" w:hint="eastAsia"/>
                    <w:b/>
                    <w:bCs/>
                    <w:sz w:val="26"/>
                    <w:szCs w:val="26"/>
                    <w:rtl/>
                  </w:rPr>
                  <w:t xml:space="preserve"> ח</w:t>
                </w:r>
                <w:r w:rsidR="00596AF2">
                  <w:rPr>
                    <w:rFonts w:ascii="Arial" w:hAnsi="Arial" w:hint="cs"/>
                    <w:b/>
                    <w:bCs/>
                    <w:sz w:val="26"/>
                    <w:szCs w:val="26"/>
                    <w:rtl/>
                  </w:rPr>
                  <w:t>'</w:t>
                </w:r>
              </w:sdtContent>
            </w:sdt>
            <w:r w:rsidR="00732FCC">
              <w:rPr>
                <w:rFonts w:hint="cs"/>
                <w:rtl/>
              </w:rPr>
              <w:t xml:space="preserve"> </w:t>
            </w:r>
          </w:p>
          <w:p w:rsidR="00732FCC" w:rsidRDefault="00C005FF" w:rsidP="00596AF2">
            <w:pPr>
              <w:suppressLineNumbers/>
              <w:rPr>
                <w:rtl/>
              </w:rPr>
            </w:pPr>
            <w:sdt>
              <w:sdtPr>
                <w:rPr>
                  <w:rtl/>
                </w:rPr>
                <w:alias w:val="1571"/>
                <w:tag w:val="1571"/>
                <w:id w:val="1028460300"/>
                <w:text w:multiLine="1"/>
              </w:sdtPr>
              <w:sdtEndPr/>
              <w:sdtContent>
                <w:r w:rsidR="00732FCC">
                  <w:rPr>
                    <w:rFonts w:ascii="Arial" w:hAnsi="Arial"/>
                    <w:b/>
                    <w:bCs/>
                    <w:noProof w:val="0"/>
                    <w:sz w:val="26"/>
                    <w:szCs w:val="26"/>
                    <w:rtl/>
                  </w:rPr>
                  <w:t>2</w:t>
                </w:r>
              </w:sdtContent>
            </w:sdt>
            <w:r w:rsidR="00732FCC">
              <w:rPr>
                <w:rFonts w:ascii="Arial" w:hAnsi="Arial"/>
                <w:b/>
                <w:bCs/>
                <w:noProof w:val="0"/>
                <w:sz w:val="26"/>
                <w:szCs w:val="26"/>
                <w:rtl/>
              </w:rPr>
              <w:t>.</w:t>
            </w:r>
            <w:r w:rsidR="00732FCC">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374694982"/>
                <w:placeholder>
                  <w:docPart w:val="1410F1BE3C834CB6B99C257F82493DA1"/>
                </w:placeholder>
                <w:text w:multiLine="1"/>
              </w:sdtPr>
              <w:sdtEndPr/>
              <w:sdtContent>
                <w:r w:rsidR="00732FCC">
                  <w:rPr>
                    <w:rFonts w:ascii="Arial" w:hAnsi="Arial" w:hint="eastAsia"/>
                    <w:b/>
                    <w:bCs/>
                    <w:noProof w:val="0"/>
                    <w:sz w:val="26"/>
                    <w:szCs w:val="26"/>
                    <w:rtl/>
                  </w:rPr>
                  <w:t>ע</w:t>
                </w:r>
                <w:r w:rsidR="00596AF2">
                  <w:rPr>
                    <w:rFonts w:ascii="Arial" w:hAnsi="Arial" w:hint="cs"/>
                    <w:b/>
                    <w:bCs/>
                    <w:noProof w:val="0"/>
                    <w:sz w:val="26"/>
                    <w:szCs w:val="26"/>
                    <w:rtl/>
                  </w:rPr>
                  <w:t>'</w:t>
                </w:r>
                <w:r w:rsidR="00732FCC">
                  <w:rPr>
                    <w:rFonts w:ascii="Arial" w:hAnsi="Arial" w:hint="eastAsia"/>
                    <w:b/>
                    <w:bCs/>
                    <w:noProof w:val="0"/>
                    <w:sz w:val="26"/>
                    <w:szCs w:val="26"/>
                    <w:rtl/>
                  </w:rPr>
                  <w:t xml:space="preserve"> ח</w:t>
                </w:r>
                <w:r w:rsidR="00596AF2">
                  <w:rPr>
                    <w:rFonts w:ascii="Arial" w:hAnsi="Arial" w:hint="cs"/>
                    <w:b/>
                    <w:bCs/>
                    <w:noProof w:val="0"/>
                    <w:sz w:val="26"/>
                    <w:szCs w:val="26"/>
                    <w:rtl/>
                  </w:rPr>
                  <w:t>'</w:t>
                </w:r>
              </w:sdtContent>
            </w:sdt>
            <w:r w:rsidR="00732FCC">
              <w:rPr>
                <w:rFonts w:hint="cs"/>
                <w:rtl/>
              </w:rPr>
              <w:t xml:space="preserve"> </w:t>
            </w:r>
          </w:p>
          <w:p w:rsidR="00732FCC" w:rsidRPr="009E461A" w:rsidRDefault="00732FCC" w:rsidP="00732FCC">
            <w:pPr>
              <w:suppressLineNumbers/>
              <w:rPr>
                <w:rtl/>
              </w:rPr>
            </w:pPr>
            <w:r>
              <w:rPr>
                <w:rFonts w:ascii="Arial" w:hAnsi="Arial"/>
                <w:b/>
                <w:bCs/>
                <w:noProof w:val="0"/>
                <w:sz w:val="26"/>
                <w:szCs w:val="26"/>
                <w:rtl/>
              </w:rPr>
              <w:t>ע"י ב"כ עוה"ד</w:t>
            </w:r>
            <w:r>
              <w:rPr>
                <w:rFonts w:ascii="Arial" w:hAnsi="Arial" w:hint="cs"/>
                <w:b/>
                <w:bCs/>
                <w:noProof w:val="0"/>
                <w:sz w:val="26"/>
                <w:szCs w:val="26"/>
                <w:rtl/>
              </w:rPr>
              <w:t xml:space="preserve"> תמיר יחיא</w:t>
            </w:r>
          </w:p>
        </w:tc>
      </w:tr>
    </w:tbl>
    <w:p w:rsidR="0094424E" w:rsidRDefault="0094424E" w:rsidP="00732FCC">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D44968" w:rsidRPr="00D44968" w:rsidRDefault="003E38C7" w:rsidP="00707870">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5C0B67" w:rsidRDefault="005C0B67" w:rsidP="005C0B67">
      <w:pPr>
        <w:spacing w:line="360" w:lineRule="auto"/>
        <w:jc w:val="both"/>
        <w:rPr>
          <w:rFonts w:ascii="David" w:hAnsi="David"/>
          <w:noProof w:val="0"/>
        </w:rPr>
      </w:pPr>
      <w:bookmarkStart w:id="1" w:name="NGCSBookmark"/>
      <w:bookmarkEnd w:id="1"/>
    </w:p>
    <w:p w:rsidR="005C0B67" w:rsidRDefault="005C0B67" w:rsidP="005C0B67">
      <w:pPr>
        <w:pStyle w:val="ad"/>
        <w:numPr>
          <w:ilvl w:val="0"/>
          <w:numId w:val="6"/>
        </w:numPr>
        <w:spacing w:line="360" w:lineRule="auto"/>
        <w:jc w:val="both"/>
        <w:rPr>
          <w:rFonts w:ascii="David" w:hAnsi="David" w:cs="David"/>
          <w:b/>
          <w:bCs/>
          <w:sz w:val="24"/>
          <w:szCs w:val="24"/>
          <w:rtl/>
        </w:rPr>
      </w:pPr>
      <w:r>
        <w:rPr>
          <w:rFonts w:ascii="David" w:hAnsi="David" w:cs="David"/>
          <w:sz w:val="24"/>
          <w:szCs w:val="24"/>
          <w:rtl/>
        </w:rPr>
        <w:t>בפניי בקשת רשות ערעור על החלטת הרשמת הבכירה (אילנה הדר) בבית המשפט לענייני משפחה בחיפה שניתנה ביום 25.05.2023, בתמ"ש 38881-09-22 (להלן: "</w:t>
      </w:r>
      <w:r>
        <w:rPr>
          <w:rFonts w:ascii="David" w:hAnsi="David" w:cs="David"/>
          <w:b/>
          <w:bCs/>
          <w:sz w:val="24"/>
          <w:szCs w:val="24"/>
          <w:rtl/>
        </w:rPr>
        <w:t>בית משפט קמא"</w:t>
      </w:r>
      <w:r>
        <w:rPr>
          <w:rFonts w:ascii="David" w:hAnsi="David" w:cs="David"/>
          <w:sz w:val="24"/>
          <w:szCs w:val="24"/>
          <w:rtl/>
        </w:rPr>
        <w:t xml:space="preserve">), בגדרה דחה בית משפט קמא את בקשת המבקש </w:t>
      </w:r>
      <w:r>
        <w:rPr>
          <w:rFonts w:ascii="David" w:hAnsi="David" w:cs="David"/>
          <w:b/>
          <w:bCs/>
          <w:sz w:val="24"/>
          <w:szCs w:val="24"/>
          <w:rtl/>
        </w:rPr>
        <w:t>"</w:t>
      </w:r>
      <w:r>
        <w:rPr>
          <w:rFonts w:ascii="David" w:hAnsi="David" w:cs="David"/>
          <w:sz w:val="24"/>
          <w:szCs w:val="24"/>
          <w:rtl/>
        </w:rPr>
        <w:t>להבהיר כי צו המניעה שניתן ביום 18.09.2022 בטל וחסר תוקף</w:t>
      </w:r>
      <w:r>
        <w:rPr>
          <w:rFonts w:ascii="David" w:hAnsi="David" w:cs="David"/>
          <w:b/>
          <w:bCs/>
          <w:sz w:val="24"/>
          <w:szCs w:val="24"/>
          <w:rtl/>
        </w:rPr>
        <w:t xml:space="preserve">", </w:t>
      </w:r>
      <w:r>
        <w:rPr>
          <w:rFonts w:ascii="David" w:hAnsi="David" w:cs="David"/>
          <w:sz w:val="24"/>
          <w:szCs w:val="24"/>
          <w:rtl/>
        </w:rPr>
        <w:t>לחלופין</w:t>
      </w:r>
      <w:r>
        <w:rPr>
          <w:rFonts w:ascii="David" w:hAnsi="David" w:cs="David"/>
          <w:b/>
          <w:bCs/>
          <w:sz w:val="24"/>
          <w:szCs w:val="24"/>
          <w:rtl/>
        </w:rPr>
        <w:t xml:space="preserve"> "</w:t>
      </w:r>
      <w:r>
        <w:rPr>
          <w:rFonts w:ascii="David" w:hAnsi="David" w:cs="David"/>
          <w:sz w:val="24"/>
          <w:szCs w:val="24"/>
          <w:rtl/>
        </w:rPr>
        <w:t>להורות על ביטולו</w:t>
      </w:r>
      <w:r>
        <w:rPr>
          <w:rFonts w:ascii="David" w:hAnsi="David" w:cs="David"/>
          <w:b/>
          <w:bCs/>
          <w:sz w:val="24"/>
          <w:szCs w:val="24"/>
          <w:rtl/>
        </w:rPr>
        <w:t xml:space="preserve">", </w:t>
      </w:r>
      <w:r>
        <w:rPr>
          <w:rFonts w:ascii="David" w:hAnsi="David" w:cs="David"/>
          <w:sz w:val="24"/>
          <w:szCs w:val="24"/>
          <w:rtl/>
        </w:rPr>
        <w:t>לחלופין</w:t>
      </w:r>
      <w:r>
        <w:rPr>
          <w:rFonts w:ascii="David" w:hAnsi="David" w:cs="David"/>
          <w:b/>
          <w:bCs/>
          <w:sz w:val="24"/>
          <w:szCs w:val="24"/>
          <w:rtl/>
        </w:rPr>
        <w:t xml:space="preserve"> </w:t>
      </w:r>
      <w:r>
        <w:rPr>
          <w:rFonts w:ascii="David" w:hAnsi="David" w:cs="David"/>
          <w:sz w:val="24"/>
          <w:szCs w:val="24"/>
          <w:rtl/>
        </w:rPr>
        <w:t>"להורות על מתן הוראות ולתת הזדמנות להתמודד עם שלל טענות המשיבים שהועלו במסגרת הבקשה למתן צו מניעה זמני".</w:t>
      </w:r>
    </w:p>
    <w:p w:rsidR="005C0B67" w:rsidRDefault="005C0B67" w:rsidP="005C0B67">
      <w:pPr>
        <w:pStyle w:val="ad"/>
        <w:spacing w:line="360" w:lineRule="auto"/>
        <w:jc w:val="both"/>
        <w:rPr>
          <w:rFonts w:ascii="David" w:hAnsi="David" w:cs="David"/>
          <w:b/>
          <w:bCs/>
          <w:sz w:val="24"/>
          <w:szCs w:val="24"/>
        </w:rPr>
      </w:pPr>
    </w:p>
    <w:p w:rsidR="005C0B67" w:rsidRDefault="005C0B67" w:rsidP="005C0B67">
      <w:pPr>
        <w:pStyle w:val="ad"/>
        <w:numPr>
          <w:ilvl w:val="0"/>
          <w:numId w:val="6"/>
        </w:numPr>
        <w:spacing w:line="360" w:lineRule="auto"/>
        <w:jc w:val="both"/>
        <w:rPr>
          <w:rFonts w:ascii="David" w:hAnsi="David" w:cs="David"/>
          <w:sz w:val="24"/>
          <w:szCs w:val="24"/>
          <w:rtl/>
        </w:rPr>
      </w:pPr>
      <w:r>
        <w:rPr>
          <w:rFonts w:ascii="David" w:hAnsi="David" w:cs="David"/>
          <w:sz w:val="24"/>
          <w:szCs w:val="24"/>
          <w:rtl/>
        </w:rPr>
        <w:t xml:space="preserve">בית משפט קמא קבע כדלקמן: </w:t>
      </w:r>
    </w:p>
    <w:p w:rsidR="005C0B67" w:rsidRDefault="005C0B67" w:rsidP="005C0B67">
      <w:pPr>
        <w:spacing w:before="120" w:line="360" w:lineRule="auto"/>
        <w:ind w:left="1440" w:right="426"/>
        <w:jc w:val="both"/>
        <w:rPr>
          <w:rFonts w:ascii="David" w:hAnsi="David"/>
          <w:b/>
          <w:bCs/>
          <w:rtl/>
        </w:rPr>
      </w:pPr>
      <w:r>
        <w:rPr>
          <w:rFonts w:ascii="David" w:hAnsi="David"/>
          <w:b/>
          <w:bCs/>
          <w:rtl/>
        </w:rPr>
        <w:t xml:space="preserve">"לאחר שעיינתי בבקשה ובתגובה נחה דעתי שדין הבקשה להידחות. המבקש תולה יהבו באי המצאת הצו לידיו בהתאם להוראת בית המשפט, אולם מאישור המסירה נספח י"ג לתגובה עולה, כי בוצעה לו מסירה ביום 22.9.22, קרי יום לאחר הפקדת הבטוחות והפקת הצו. כן לא ניתן להתעלם שמתגובת המבקש כפי שהוגשה ביום 1.12.22 עולה כי היה מודע לצו, ובכל זאת לא הגיש כל בקשה בענייננו באותה עת. </w:t>
      </w:r>
    </w:p>
    <w:p w:rsidR="005C0B67" w:rsidRDefault="005C0B67" w:rsidP="005C0B67">
      <w:pPr>
        <w:spacing w:before="120" w:line="360" w:lineRule="auto"/>
        <w:ind w:left="1440" w:right="426"/>
        <w:jc w:val="both"/>
        <w:rPr>
          <w:rFonts w:ascii="David" w:hAnsi="David"/>
          <w:b/>
          <w:bCs/>
          <w:rtl/>
        </w:rPr>
      </w:pPr>
      <w:r>
        <w:rPr>
          <w:rFonts w:ascii="David" w:hAnsi="David"/>
          <w:b/>
          <w:bCs/>
          <w:rtl/>
        </w:rPr>
        <w:t xml:space="preserve">איני מוצאת לנכון להורות על ביטול הצו בשל עיכוב ההליך, וכל עוד ההליך לא בוטל או הסתיים בדרך אחרת, אין הדבר כשלעצמו מהווה עילה לביטול הצו. בנסיבות אלה, היות שנחה דעתי שבוצעה מסירה וכי המבקש היה מודע לצו, ובשים לב לשיהוי בהגשת הבקשה לביטולו על אף שהיה מודע לו עוד מיום 1.12.23, איני נעתרת לבקשה. </w:t>
      </w:r>
    </w:p>
    <w:p w:rsidR="005C0B67" w:rsidRDefault="005C0B67" w:rsidP="005C0B67">
      <w:pPr>
        <w:spacing w:before="120" w:line="360" w:lineRule="auto"/>
        <w:ind w:left="1088" w:right="426" w:firstLine="352"/>
        <w:jc w:val="both"/>
        <w:rPr>
          <w:rFonts w:ascii="David" w:hAnsi="David"/>
          <w:b/>
          <w:bCs/>
          <w:rtl/>
        </w:rPr>
      </w:pPr>
      <w:r>
        <w:rPr>
          <w:rFonts w:ascii="David" w:hAnsi="David"/>
          <w:b/>
          <w:bCs/>
          <w:rtl/>
        </w:rPr>
        <w:t>על מנת שלא להעצים את הסכסוך, איני עושה צו להוצאות."</w:t>
      </w:r>
    </w:p>
    <w:p w:rsidR="005C0B67" w:rsidRDefault="005C0B67" w:rsidP="005C0B67">
      <w:pPr>
        <w:spacing w:before="120" w:line="360" w:lineRule="auto"/>
        <w:ind w:left="368" w:right="426"/>
        <w:jc w:val="right"/>
        <w:rPr>
          <w:rFonts w:ascii="David" w:hAnsi="David"/>
          <w:rtl/>
        </w:rPr>
      </w:pPr>
      <w:r>
        <w:rPr>
          <w:rFonts w:ascii="David" w:hAnsi="David"/>
          <w:rtl/>
        </w:rPr>
        <w:t>(להלן: "</w:t>
      </w:r>
      <w:r>
        <w:rPr>
          <w:rFonts w:ascii="David" w:hAnsi="David"/>
          <w:b/>
          <w:bCs/>
          <w:rtl/>
        </w:rPr>
        <w:t>החלטת בית משפט קמא</w:t>
      </w:r>
      <w:r>
        <w:rPr>
          <w:rFonts w:ascii="David" w:hAnsi="David"/>
          <w:rtl/>
        </w:rPr>
        <w:t>")</w:t>
      </w:r>
    </w:p>
    <w:p w:rsidR="005C0B67" w:rsidRDefault="005C0B67" w:rsidP="005C0B67">
      <w:pPr>
        <w:rPr>
          <w:rFonts w:ascii="David" w:hAnsi="David"/>
        </w:rPr>
      </w:pPr>
    </w:p>
    <w:p w:rsidR="005C0B67" w:rsidRDefault="005C0B67" w:rsidP="005C0B67">
      <w:pPr>
        <w:rPr>
          <w:rFonts w:ascii="David" w:hAnsi="David"/>
          <w:rtl/>
        </w:rPr>
      </w:pPr>
    </w:p>
    <w:p w:rsidR="005C0B67" w:rsidRDefault="005C0B67" w:rsidP="005C0B67">
      <w:pPr>
        <w:rPr>
          <w:rFonts w:ascii="David" w:hAnsi="David"/>
          <w:rtl/>
        </w:rPr>
      </w:pPr>
    </w:p>
    <w:p w:rsidR="005C0B67" w:rsidRDefault="005C0B67" w:rsidP="005C0B67">
      <w:pPr>
        <w:rPr>
          <w:rFonts w:ascii="David" w:hAnsi="David"/>
          <w:rtl/>
        </w:rPr>
      </w:pPr>
    </w:p>
    <w:p w:rsidR="00005FD5" w:rsidRDefault="005C0B67" w:rsidP="00005FD5">
      <w:pPr>
        <w:pStyle w:val="ad"/>
        <w:numPr>
          <w:ilvl w:val="0"/>
          <w:numId w:val="6"/>
        </w:numPr>
        <w:spacing w:line="360" w:lineRule="auto"/>
        <w:jc w:val="both"/>
        <w:rPr>
          <w:rFonts w:ascii="David" w:hAnsi="David"/>
        </w:rPr>
      </w:pPr>
      <w:r>
        <w:rPr>
          <w:rFonts w:ascii="David" w:hAnsi="David" w:cs="David"/>
          <w:sz w:val="24"/>
          <w:szCs w:val="24"/>
          <w:rtl/>
        </w:rPr>
        <w:lastRenderedPageBreak/>
        <w:t>כאן המקום לציין כי בין הצדדים התנהל הליך קודם בשנת 2016 (תמ"ש 57593-05-16, הליך בעניין עיזבון) שהוכרע והסתיים, במסגרתו ניתן צו מניעה זמני (להלן: "</w:t>
      </w:r>
      <w:r>
        <w:rPr>
          <w:rFonts w:ascii="David" w:hAnsi="David" w:cs="David"/>
          <w:b/>
          <w:bCs/>
          <w:sz w:val="24"/>
          <w:szCs w:val="24"/>
          <w:rtl/>
        </w:rPr>
        <w:t>ההליך הקודם"</w:t>
      </w:r>
      <w:r>
        <w:rPr>
          <w:rFonts w:ascii="David" w:hAnsi="David" w:cs="David"/>
          <w:sz w:val="24"/>
          <w:szCs w:val="24"/>
          <w:rtl/>
        </w:rPr>
        <w:t>, "</w:t>
      </w:r>
      <w:r>
        <w:rPr>
          <w:rFonts w:ascii="David" w:hAnsi="David" w:cs="David"/>
          <w:b/>
          <w:bCs/>
          <w:sz w:val="24"/>
          <w:szCs w:val="24"/>
          <w:rtl/>
        </w:rPr>
        <w:t>צו המניעה הראשון</w:t>
      </w:r>
      <w:r>
        <w:rPr>
          <w:rFonts w:ascii="David" w:hAnsi="David" w:cs="David"/>
          <w:sz w:val="24"/>
          <w:szCs w:val="24"/>
          <w:rtl/>
        </w:rPr>
        <w:t>" בהתאמה). צו המניעה הראשון בוטל על ידי בית מ</w:t>
      </w:r>
      <w:r w:rsidR="00005FD5">
        <w:rPr>
          <w:rFonts w:ascii="David" w:hAnsi="David" w:cs="David"/>
          <w:sz w:val="24"/>
          <w:szCs w:val="24"/>
          <w:rtl/>
        </w:rPr>
        <w:t>שפט קמא בהחלטה מיום 13.07.2022,</w:t>
      </w:r>
      <w:r w:rsidR="00005FD5">
        <w:rPr>
          <w:rFonts w:ascii="David" w:hAnsi="David" w:cs="David" w:hint="cs"/>
          <w:sz w:val="24"/>
          <w:szCs w:val="24"/>
          <w:rtl/>
        </w:rPr>
        <w:t xml:space="preserve"> </w:t>
      </w:r>
      <w:r>
        <w:rPr>
          <w:rFonts w:ascii="David" w:hAnsi="David" w:cs="David"/>
          <w:sz w:val="24"/>
          <w:szCs w:val="24"/>
          <w:rtl/>
        </w:rPr>
        <w:t>לאחר שנקבע כי בתביעת העיזבון אין עוד הצדקה בהותרת צו המניעה הזמני על כנו.</w:t>
      </w:r>
      <w:r w:rsidR="00005FD5">
        <w:rPr>
          <w:rFonts w:ascii="David" w:hAnsi="David" w:cs="David" w:hint="cs"/>
          <w:sz w:val="24"/>
          <w:szCs w:val="24"/>
          <w:rtl/>
        </w:rPr>
        <w:t xml:space="preserve"> כאמור, ההליך הקודם </w:t>
      </w:r>
      <w:r w:rsidR="00005FD5">
        <w:rPr>
          <w:rFonts w:ascii="David" w:hAnsi="David" w:cs="David"/>
          <w:sz w:val="24"/>
          <w:szCs w:val="24"/>
          <w:rtl/>
        </w:rPr>
        <w:t>הוכרע ונסגר</w:t>
      </w:r>
      <w:r w:rsidR="00005FD5">
        <w:rPr>
          <w:rFonts w:ascii="David" w:hAnsi="David" w:cs="David" w:hint="cs"/>
          <w:sz w:val="24"/>
          <w:szCs w:val="24"/>
          <w:rtl/>
        </w:rPr>
        <w:t>.</w:t>
      </w:r>
    </w:p>
    <w:p w:rsidR="00005FD5" w:rsidRDefault="00005FD5" w:rsidP="00005FD5">
      <w:pPr>
        <w:spacing w:line="360" w:lineRule="auto"/>
        <w:ind w:left="360"/>
        <w:jc w:val="both"/>
        <w:rPr>
          <w:rFonts w:ascii="David" w:hAnsi="David"/>
          <w:rtl/>
        </w:rPr>
      </w:pPr>
    </w:p>
    <w:p w:rsidR="00005FD5" w:rsidRPr="00005FD5" w:rsidRDefault="00005FD5" w:rsidP="004A3531">
      <w:pPr>
        <w:pStyle w:val="ad"/>
        <w:numPr>
          <w:ilvl w:val="0"/>
          <w:numId w:val="6"/>
        </w:numPr>
        <w:spacing w:line="360" w:lineRule="auto"/>
        <w:jc w:val="both"/>
        <w:rPr>
          <w:rFonts w:ascii="David" w:hAnsi="David" w:cs="David"/>
          <w:sz w:val="24"/>
          <w:szCs w:val="24"/>
        </w:rPr>
      </w:pPr>
      <w:r w:rsidRPr="00005FD5">
        <w:rPr>
          <w:rFonts w:ascii="David" w:hAnsi="David" w:cs="David"/>
          <w:sz w:val="24"/>
          <w:szCs w:val="24"/>
          <w:rtl/>
        </w:rPr>
        <w:t xml:space="preserve">ההליך הנוכחי נפתח בחלוף כשש שנים מאז פתיחת ההליך הקודם. ביום 18.09.2022, כחודשיים לאחר ביטול צו המניעה הראשון ניתן צו מניעה זמני </w:t>
      </w:r>
      <w:r w:rsidRPr="00005FD5">
        <w:rPr>
          <w:rFonts w:ascii="David" w:hAnsi="David" w:cs="David"/>
          <w:b/>
          <w:bCs/>
          <w:sz w:val="24"/>
          <w:szCs w:val="24"/>
          <w:rtl/>
        </w:rPr>
        <w:t>במעמד צד אחד</w:t>
      </w:r>
      <w:r w:rsidRPr="00005FD5">
        <w:rPr>
          <w:rFonts w:ascii="David" w:hAnsi="David" w:cs="David"/>
          <w:sz w:val="24"/>
          <w:szCs w:val="24"/>
          <w:rtl/>
        </w:rPr>
        <w:t xml:space="preserve"> שהיה מותנה בהתחייבות עצמית, ערבות צד ג' והמצאה למשיב (להלן: "</w:t>
      </w:r>
      <w:r w:rsidRPr="00005FD5">
        <w:rPr>
          <w:rFonts w:ascii="David" w:hAnsi="David" w:cs="David"/>
          <w:b/>
          <w:bCs/>
          <w:sz w:val="24"/>
          <w:szCs w:val="24"/>
          <w:rtl/>
        </w:rPr>
        <w:t>צו המניעה השני</w:t>
      </w:r>
      <w:r w:rsidRPr="00005FD5">
        <w:rPr>
          <w:rFonts w:ascii="David" w:hAnsi="David" w:cs="David"/>
          <w:sz w:val="24"/>
          <w:szCs w:val="24"/>
          <w:rtl/>
        </w:rPr>
        <w:t xml:space="preserve">" </w:t>
      </w:r>
      <w:r w:rsidRPr="00005FD5">
        <w:rPr>
          <w:rFonts w:ascii="David" w:hAnsi="David" w:cs="David"/>
          <w:b/>
          <w:bCs/>
          <w:sz w:val="24"/>
          <w:szCs w:val="24"/>
          <w:rtl/>
        </w:rPr>
        <w:t>ו/או ההליך הנוכחי</w:t>
      </w:r>
      <w:r w:rsidRPr="00005FD5">
        <w:rPr>
          <w:rFonts w:ascii="David" w:hAnsi="David" w:cs="David"/>
          <w:sz w:val="24"/>
          <w:szCs w:val="24"/>
          <w:rtl/>
        </w:rPr>
        <w:t xml:space="preserve">). </w:t>
      </w:r>
      <w:r w:rsidR="004A3531">
        <w:rPr>
          <w:rFonts w:ascii="David" w:hAnsi="David" w:cs="David" w:hint="cs"/>
          <w:sz w:val="24"/>
          <w:szCs w:val="24"/>
          <w:rtl/>
        </w:rPr>
        <w:t>המבקש הגיש בקשה לבהמ"ש קמא לביטול צו המניעה השני ובית משפט קמא כאמור דחה את בקשתו. על החלט</w:t>
      </w:r>
      <w:r w:rsidR="00E74249">
        <w:rPr>
          <w:rFonts w:ascii="David" w:hAnsi="David" w:cs="David" w:hint="cs"/>
          <w:sz w:val="24"/>
          <w:szCs w:val="24"/>
          <w:rtl/>
        </w:rPr>
        <w:t xml:space="preserve">ה זו הגיש המבקש כאמור בקשת רשות ערעור. </w:t>
      </w:r>
    </w:p>
    <w:p w:rsidR="005C0B67" w:rsidRPr="00005FD5" w:rsidRDefault="005C0B67" w:rsidP="005C0B67">
      <w:pPr>
        <w:pStyle w:val="ad"/>
        <w:spacing w:line="360" w:lineRule="auto"/>
        <w:jc w:val="both"/>
        <w:rPr>
          <w:rFonts w:ascii="David" w:hAnsi="David" w:cs="David"/>
          <w:b/>
          <w:bCs/>
          <w:sz w:val="26"/>
          <w:szCs w:val="26"/>
          <w:rtl/>
        </w:rPr>
      </w:pPr>
    </w:p>
    <w:p w:rsidR="005C0B67" w:rsidRDefault="005C0B67" w:rsidP="00E74249">
      <w:pPr>
        <w:pStyle w:val="ad"/>
        <w:numPr>
          <w:ilvl w:val="0"/>
          <w:numId w:val="6"/>
        </w:numPr>
        <w:spacing w:line="360" w:lineRule="auto"/>
        <w:jc w:val="both"/>
        <w:rPr>
          <w:rFonts w:ascii="David" w:hAnsi="David" w:cs="David"/>
          <w:b/>
          <w:bCs/>
          <w:sz w:val="24"/>
          <w:szCs w:val="24"/>
          <w:rtl/>
        </w:rPr>
      </w:pPr>
      <w:r>
        <w:rPr>
          <w:rFonts w:ascii="David" w:hAnsi="David" w:cs="David"/>
          <w:sz w:val="24"/>
          <w:szCs w:val="24"/>
          <w:rtl/>
        </w:rPr>
        <w:t xml:space="preserve">בתמצית טען המבקש כי צו המניעה השני ניתן במעמד צד אחד, לא הומצא לו ולא הובא לידיעתו. לטענתו, שגה בית משפט קמא משלא קבע כי צו המניעה השני בטל, לחלופין לא קיים דיון במעמד הצדדים כמתחייב מכוח תקנות סדר הדין. </w:t>
      </w:r>
      <w:r w:rsidR="00E74249">
        <w:rPr>
          <w:rFonts w:ascii="David" w:hAnsi="David" w:cs="David" w:hint="cs"/>
          <w:sz w:val="24"/>
          <w:szCs w:val="24"/>
          <w:rtl/>
        </w:rPr>
        <w:t xml:space="preserve">עוד הוסיף וטען כי </w:t>
      </w:r>
      <w:r>
        <w:rPr>
          <w:rFonts w:ascii="David" w:hAnsi="David" w:cs="David"/>
          <w:sz w:val="24"/>
          <w:szCs w:val="24"/>
          <w:rtl/>
        </w:rPr>
        <w:t>הותרת צו המניעה השני על כנו, פוגעת בזכויותיו ובקניינו.</w:t>
      </w:r>
    </w:p>
    <w:p w:rsidR="005C0B67" w:rsidRDefault="005C0B67" w:rsidP="005C0B67">
      <w:pPr>
        <w:pStyle w:val="ad"/>
        <w:spacing w:line="360" w:lineRule="auto"/>
        <w:jc w:val="both"/>
        <w:rPr>
          <w:rFonts w:ascii="David" w:hAnsi="David" w:cs="David"/>
          <w:b/>
          <w:bCs/>
          <w:sz w:val="24"/>
          <w:szCs w:val="24"/>
        </w:rPr>
      </w:pPr>
    </w:p>
    <w:p w:rsidR="005C0B67" w:rsidRDefault="005C0B67" w:rsidP="00E74249">
      <w:pPr>
        <w:pStyle w:val="ad"/>
        <w:numPr>
          <w:ilvl w:val="0"/>
          <w:numId w:val="6"/>
        </w:numPr>
        <w:spacing w:line="360" w:lineRule="auto"/>
        <w:jc w:val="both"/>
        <w:rPr>
          <w:rFonts w:ascii="David" w:hAnsi="David" w:cs="David"/>
          <w:sz w:val="24"/>
          <w:szCs w:val="24"/>
        </w:rPr>
      </w:pPr>
      <w:r>
        <w:rPr>
          <w:rFonts w:ascii="David" w:hAnsi="David" w:cs="David"/>
          <w:sz w:val="24"/>
          <w:szCs w:val="24"/>
          <w:rtl/>
        </w:rPr>
        <w:t xml:space="preserve">המשיבים טענו כי אין מקום ליתן רשות ערעור לבקשה. לטענתם, נערך דיון במעמד הצדדים בצו המניעה הראשון שניתן בהליך הקודם וצו המניעה השני שניתן בהליך הנוכחי הינו המשך ישיר לצו המניעה הראשון. המבקש לא ערער על ההחלטה שהשאירה את צו המניעה </w:t>
      </w:r>
      <w:r w:rsidRPr="00BD17B8">
        <w:rPr>
          <w:rFonts w:ascii="David" w:hAnsi="David" w:cs="David"/>
          <w:sz w:val="24"/>
          <w:szCs w:val="24"/>
          <w:rtl/>
        </w:rPr>
        <w:t>ה</w:t>
      </w:r>
      <w:r w:rsidR="00E74249" w:rsidRPr="00BD17B8">
        <w:rPr>
          <w:rFonts w:ascii="David" w:hAnsi="David" w:cs="David" w:hint="cs"/>
          <w:sz w:val="24"/>
          <w:szCs w:val="24"/>
          <w:rtl/>
        </w:rPr>
        <w:t>ראשון</w:t>
      </w:r>
      <w:r w:rsidR="00E74249">
        <w:rPr>
          <w:rFonts w:ascii="David" w:hAnsi="David" w:cs="David" w:hint="cs"/>
          <w:sz w:val="24"/>
          <w:szCs w:val="24"/>
          <w:rtl/>
        </w:rPr>
        <w:t xml:space="preserve"> </w:t>
      </w:r>
      <w:r>
        <w:rPr>
          <w:rFonts w:ascii="David" w:hAnsi="David" w:cs="David"/>
          <w:sz w:val="24"/>
          <w:szCs w:val="24"/>
          <w:rtl/>
        </w:rPr>
        <w:t>על כנו ומשכך, צדק בית משפט קמא שדחה את בקשתו. ביטול צו המניעה השני, לעמדת המשיבים, יעניק למבקש אפשרות לפעול במקרקעין המשותפים ככל העולה על רוחו, דבר שיביא להסלמת הסכסוך.</w:t>
      </w:r>
    </w:p>
    <w:p w:rsidR="005C0B67" w:rsidRDefault="005C0B67" w:rsidP="005C0B67">
      <w:pPr>
        <w:pStyle w:val="ad"/>
        <w:spacing w:line="360" w:lineRule="auto"/>
        <w:jc w:val="both"/>
        <w:rPr>
          <w:rFonts w:ascii="David" w:hAnsi="David" w:cs="David"/>
          <w:b/>
          <w:bCs/>
          <w:sz w:val="24"/>
          <w:szCs w:val="24"/>
        </w:rPr>
      </w:pPr>
    </w:p>
    <w:p w:rsidR="00E8440F" w:rsidRDefault="005C0B67" w:rsidP="00E74249">
      <w:pPr>
        <w:pStyle w:val="ad"/>
        <w:numPr>
          <w:ilvl w:val="0"/>
          <w:numId w:val="6"/>
        </w:numPr>
        <w:spacing w:line="360" w:lineRule="auto"/>
        <w:jc w:val="both"/>
        <w:rPr>
          <w:rFonts w:ascii="David" w:hAnsi="David" w:cs="David"/>
          <w:b/>
          <w:bCs/>
          <w:sz w:val="24"/>
          <w:szCs w:val="24"/>
        </w:rPr>
      </w:pPr>
      <w:r>
        <w:rPr>
          <w:rFonts w:ascii="David" w:hAnsi="David" w:cs="David"/>
          <w:b/>
          <w:bCs/>
          <w:sz w:val="24"/>
          <w:szCs w:val="24"/>
          <w:rtl/>
        </w:rPr>
        <w:t xml:space="preserve">לאחר שקראתי החלטת בית משפט קמא, בחנתי את עמדות הצדדים ועיינתי בתיק בית משפט קמא בשני ההליכים, הן ההליך הנוכחי והן ההליך הקודם, מצאתי כי יש ליתן רשות הערעור לבקשה, לדון בה כבערעור ולהורות לבית משפט </w:t>
      </w:r>
      <w:r w:rsidR="00E74249">
        <w:rPr>
          <w:rFonts w:ascii="David" w:hAnsi="David" w:cs="David"/>
          <w:b/>
          <w:bCs/>
          <w:sz w:val="24"/>
          <w:szCs w:val="24"/>
          <w:rtl/>
        </w:rPr>
        <w:t>קמא לקיים דיון במעמד שני הצדדים</w:t>
      </w:r>
      <w:r w:rsidR="00E74249">
        <w:rPr>
          <w:rFonts w:ascii="David" w:hAnsi="David" w:cs="David" w:hint="cs"/>
          <w:b/>
          <w:bCs/>
          <w:sz w:val="24"/>
          <w:szCs w:val="24"/>
          <w:rtl/>
        </w:rPr>
        <w:t xml:space="preserve"> בצו המניעה השני. </w:t>
      </w:r>
      <w:r w:rsidR="00E8440F">
        <w:rPr>
          <w:rFonts w:ascii="David" w:hAnsi="David" w:cs="David" w:hint="cs"/>
          <w:b/>
          <w:bCs/>
          <w:sz w:val="24"/>
          <w:szCs w:val="24"/>
          <w:rtl/>
        </w:rPr>
        <w:t xml:space="preserve">מעתה ייקרא המבקש </w:t>
      </w:r>
      <w:r w:rsidR="00E8440F">
        <w:rPr>
          <w:rFonts w:ascii="David" w:hAnsi="David" w:cs="David"/>
          <w:b/>
          <w:bCs/>
          <w:sz w:val="24"/>
          <w:szCs w:val="24"/>
          <w:rtl/>
        </w:rPr>
        <w:t>–</w:t>
      </w:r>
      <w:r w:rsidR="00E8440F">
        <w:rPr>
          <w:rFonts w:ascii="David" w:hAnsi="David" w:cs="David" w:hint="cs"/>
          <w:b/>
          <w:bCs/>
          <w:sz w:val="24"/>
          <w:szCs w:val="24"/>
          <w:rtl/>
        </w:rPr>
        <w:t xml:space="preserve"> המערער.</w:t>
      </w:r>
    </w:p>
    <w:p w:rsidR="00E8440F" w:rsidRPr="00E8440F" w:rsidRDefault="00E8440F" w:rsidP="00E8440F">
      <w:pPr>
        <w:pStyle w:val="ad"/>
        <w:rPr>
          <w:rFonts w:ascii="David" w:hAnsi="David" w:cs="David"/>
          <w:b/>
          <w:bCs/>
          <w:sz w:val="24"/>
          <w:szCs w:val="24"/>
          <w:rtl/>
        </w:rPr>
      </w:pPr>
    </w:p>
    <w:p w:rsidR="005C0B67" w:rsidRDefault="005C0B67" w:rsidP="00E8440F">
      <w:pPr>
        <w:pStyle w:val="ad"/>
        <w:spacing w:line="360" w:lineRule="auto"/>
        <w:jc w:val="both"/>
        <w:rPr>
          <w:rFonts w:ascii="David" w:hAnsi="David" w:cs="David"/>
          <w:b/>
          <w:bCs/>
          <w:sz w:val="24"/>
          <w:szCs w:val="24"/>
          <w:rtl/>
        </w:rPr>
      </w:pPr>
      <w:r>
        <w:rPr>
          <w:rFonts w:ascii="David" w:hAnsi="David" w:cs="David"/>
          <w:b/>
          <w:bCs/>
          <w:sz w:val="24"/>
          <w:szCs w:val="24"/>
          <w:rtl/>
        </w:rPr>
        <w:t xml:space="preserve">יובהר כי אין בהחלטתי זו כדי להביע עמדה לגוף ההחלטה, וחזקה על בית משפט קמא שיפעל על פי חכמתו. </w:t>
      </w:r>
    </w:p>
    <w:p w:rsidR="005C0B67" w:rsidRDefault="005C0B67" w:rsidP="005C0B67">
      <w:pPr>
        <w:pStyle w:val="ad"/>
        <w:spacing w:line="360" w:lineRule="auto"/>
        <w:jc w:val="both"/>
        <w:rPr>
          <w:rFonts w:ascii="David" w:hAnsi="David" w:cs="David"/>
          <w:b/>
          <w:bCs/>
          <w:sz w:val="24"/>
          <w:szCs w:val="24"/>
        </w:rPr>
      </w:pPr>
    </w:p>
    <w:p w:rsidR="005C0B67" w:rsidRDefault="005C0B67" w:rsidP="005C0B67">
      <w:pPr>
        <w:pStyle w:val="ad"/>
        <w:numPr>
          <w:ilvl w:val="0"/>
          <w:numId w:val="6"/>
        </w:numPr>
        <w:spacing w:line="360" w:lineRule="auto"/>
        <w:jc w:val="both"/>
        <w:rPr>
          <w:rFonts w:ascii="David" w:hAnsi="David" w:cs="David"/>
          <w:b/>
          <w:bCs/>
          <w:sz w:val="24"/>
          <w:szCs w:val="24"/>
        </w:rPr>
      </w:pPr>
      <w:r>
        <w:rPr>
          <w:rFonts w:ascii="David" w:hAnsi="David" w:cs="David"/>
          <w:b/>
          <w:bCs/>
          <w:sz w:val="24"/>
          <w:szCs w:val="24"/>
          <w:rtl/>
        </w:rPr>
        <w:t>ואלו נימוקיי:</w:t>
      </w:r>
    </w:p>
    <w:p w:rsidR="005C0B67" w:rsidRDefault="005C0B67" w:rsidP="005C0B67">
      <w:pPr>
        <w:spacing w:line="360" w:lineRule="auto"/>
        <w:jc w:val="both"/>
        <w:rPr>
          <w:rFonts w:ascii="David" w:hAnsi="David"/>
          <w:b/>
          <w:bCs/>
          <w:rtl/>
        </w:rPr>
      </w:pPr>
    </w:p>
    <w:p w:rsidR="005C0B67" w:rsidRDefault="005C0B67" w:rsidP="00E8440F">
      <w:pPr>
        <w:pStyle w:val="ad"/>
        <w:numPr>
          <w:ilvl w:val="0"/>
          <w:numId w:val="7"/>
        </w:numPr>
        <w:spacing w:line="360" w:lineRule="auto"/>
        <w:jc w:val="both"/>
        <w:rPr>
          <w:rFonts w:ascii="David" w:hAnsi="David" w:cs="David"/>
          <w:sz w:val="24"/>
          <w:szCs w:val="24"/>
        </w:rPr>
      </w:pPr>
      <w:r>
        <w:rPr>
          <w:rFonts w:ascii="David" w:hAnsi="David" w:cs="David"/>
          <w:sz w:val="24"/>
          <w:szCs w:val="24"/>
          <w:rtl/>
        </w:rPr>
        <w:lastRenderedPageBreak/>
        <w:t>ראשית אפנה לתקנה 97(ד) לתקנות סדר הדין האזרחי, התשע"ט-2018, (להלן: "</w:t>
      </w:r>
      <w:r>
        <w:rPr>
          <w:rFonts w:ascii="David" w:hAnsi="David" w:cs="David"/>
          <w:b/>
          <w:bCs/>
          <w:sz w:val="24"/>
          <w:szCs w:val="24"/>
          <w:rtl/>
        </w:rPr>
        <w:t>תקנות סדר הדין האזרחי</w:t>
      </w:r>
      <w:r>
        <w:rPr>
          <w:rFonts w:ascii="David" w:hAnsi="David" w:cs="David"/>
          <w:sz w:val="24"/>
          <w:szCs w:val="24"/>
          <w:rtl/>
        </w:rPr>
        <w:t xml:space="preserve">") המורה כי סעד זמני ארעי שניתן במעמד צד אחד יומצא למשיב במסירה אישית, לרבות הבקשה והמסמכים המצורפים לה והעתק כתב הערבות, בלא דיחוי ולא יאוחר משלושה ימים ממועד מתן הצו (אלא אם הורה בית משפט על מועד אחר מטעמים מיוחדים). </w:t>
      </w:r>
      <w:r w:rsidR="00E8440F" w:rsidRPr="00852EDD">
        <w:rPr>
          <w:rFonts w:ascii="David" w:hAnsi="David" w:cs="David" w:hint="cs"/>
          <w:sz w:val="24"/>
          <w:szCs w:val="24"/>
          <w:rtl/>
        </w:rPr>
        <w:t>ואם</w:t>
      </w:r>
      <w:r w:rsidR="00E8440F">
        <w:rPr>
          <w:rFonts w:ascii="David" w:hAnsi="David" w:cs="David" w:hint="cs"/>
          <w:sz w:val="24"/>
          <w:szCs w:val="24"/>
          <w:rtl/>
        </w:rPr>
        <w:t xml:space="preserve"> </w:t>
      </w:r>
      <w:r>
        <w:rPr>
          <w:rFonts w:ascii="David" w:hAnsi="David" w:cs="David"/>
          <w:sz w:val="24"/>
          <w:szCs w:val="24"/>
          <w:rtl/>
        </w:rPr>
        <w:t xml:space="preserve">לא די בתקנה עצמה, </w:t>
      </w:r>
      <w:r w:rsidR="00E8440F" w:rsidRPr="00852EDD">
        <w:rPr>
          <w:rFonts w:ascii="David" w:hAnsi="David" w:cs="David" w:hint="cs"/>
          <w:sz w:val="24"/>
          <w:szCs w:val="24"/>
          <w:rtl/>
        </w:rPr>
        <w:t>הרי ש</w:t>
      </w:r>
      <w:r w:rsidRPr="00852EDD">
        <w:rPr>
          <w:rFonts w:ascii="David" w:hAnsi="David" w:cs="David"/>
          <w:sz w:val="24"/>
          <w:szCs w:val="24"/>
          <w:rtl/>
        </w:rPr>
        <w:t>בית</w:t>
      </w:r>
      <w:r>
        <w:rPr>
          <w:rFonts w:ascii="David" w:hAnsi="David" w:cs="David"/>
          <w:sz w:val="24"/>
          <w:szCs w:val="24"/>
          <w:rtl/>
        </w:rPr>
        <w:t xml:space="preserve"> משפט קמא אף הפנה את המשיבים לתק</w:t>
      </w:r>
      <w:r w:rsidR="00E8440F">
        <w:rPr>
          <w:rFonts w:ascii="David" w:hAnsi="David" w:cs="David"/>
          <w:sz w:val="24"/>
          <w:szCs w:val="24"/>
          <w:rtl/>
        </w:rPr>
        <w:t>נה זו</w:t>
      </w:r>
      <w:r w:rsidR="00E8440F">
        <w:rPr>
          <w:rFonts w:ascii="David" w:hAnsi="David" w:cs="David" w:hint="cs"/>
          <w:sz w:val="24"/>
          <w:szCs w:val="24"/>
          <w:rtl/>
        </w:rPr>
        <w:t xml:space="preserve"> ו</w:t>
      </w:r>
      <w:r>
        <w:rPr>
          <w:rFonts w:ascii="David" w:hAnsi="David" w:cs="David"/>
          <w:sz w:val="24"/>
          <w:szCs w:val="24"/>
          <w:rtl/>
        </w:rPr>
        <w:t xml:space="preserve">הורה מפורשות למשיבים להמציא העתק הצו, הבקשה והמסמכים לידי המשיב בתוך 3 ימים מיום הפקת הצו על ידי המזכירות (ראו סע' 6 להחלטה מיום 18.09.2022). </w:t>
      </w:r>
    </w:p>
    <w:p w:rsidR="005C0B67" w:rsidRDefault="005C0B67" w:rsidP="005C0B67">
      <w:pPr>
        <w:spacing w:line="360" w:lineRule="auto"/>
        <w:jc w:val="both"/>
        <w:rPr>
          <w:rFonts w:ascii="David" w:hAnsi="David"/>
        </w:rPr>
      </w:pPr>
    </w:p>
    <w:p w:rsidR="005C0B67" w:rsidRDefault="005C0B67" w:rsidP="00E8440F">
      <w:pPr>
        <w:pStyle w:val="ad"/>
        <w:numPr>
          <w:ilvl w:val="0"/>
          <w:numId w:val="7"/>
        </w:numPr>
        <w:spacing w:line="360" w:lineRule="auto"/>
        <w:jc w:val="both"/>
        <w:rPr>
          <w:rFonts w:ascii="David" w:hAnsi="David" w:cs="David"/>
          <w:sz w:val="24"/>
          <w:szCs w:val="24"/>
          <w:rtl/>
        </w:rPr>
      </w:pPr>
      <w:r>
        <w:rPr>
          <w:rFonts w:ascii="David" w:hAnsi="David" w:cs="David"/>
          <w:sz w:val="24"/>
          <w:szCs w:val="24"/>
          <w:rtl/>
        </w:rPr>
        <w:t xml:space="preserve">בית משפט קמא קבע שנחה דעתו שבוצעה מסירה ביום 22.09.2022 וכי המבקש היה מודע לצו, כעולה מתגובתו מיום 01.12.2022. סבורני שהתשתית העובדתית אינה עולה בקנה אחד עם מסקנה זו. </w:t>
      </w:r>
      <w:r w:rsidR="00E8440F">
        <w:rPr>
          <w:rFonts w:ascii="David" w:hAnsi="David" w:cs="David" w:hint="cs"/>
          <w:sz w:val="24"/>
          <w:szCs w:val="24"/>
          <w:rtl/>
        </w:rPr>
        <w:t>מ</w:t>
      </w:r>
      <w:r>
        <w:rPr>
          <w:rFonts w:ascii="David" w:hAnsi="David" w:cs="David"/>
          <w:sz w:val="24"/>
          <w:szCs w:val="24"/>
          <w:rtl/>
        </w:rPr>
        <w:t>נספח י"ג לתגובת המשיבים</w:t>
      </w:r>
      <w:r w:rsidR="00E8440F">
        <w:rPr>
          <w:rFonts w:ascii="David" w:hAnsi="David" w:cs="David" w:hint="cs"/>
          <w:sz w:val="24"/>
          <w:szCs w:val="24"/>
          <w:rtl/>
        </w:rPr>
        <w:t>,</w:t>
      </w:r>
      <w:r w:rsidR="00E8440F">
        <w:rPr>
          <w:rFonts w:ascii="David" w:hAnsi="David" w:cs="David"/>
          <w:sz w:val="24"/>
          <w:szCs w:val="24"/>
          <w:rtl/>
        </w:rPr>
        <w:t xml:space="preserve"> </w:t>
      </w:r>
      <w:r w:rsidR="00E8440F">
        <w:rPr>
          <w:rFonts w:ascii="David" w:hAnsi="David" w:cs="David" w:hint="cs"/>
          <w:sz w:val="24"/>
          <w:szCs w:val="24"/>
          <w:rtl/>
        </w:rPr>
        <w:t>אליו הפנה ב</w:t>
      </w:r>
      <w:r>
        <w:rPr>
          <w:rFonts w:ascii="David" w:hAnsi="David" w:cs="David"/>
          <w:sz w:val="24"/>
          <w:szCs w:val="24"/>
          <w:rtl/>
        </w:rPr>
        <w:t>ית משפט קמא, עולה כי רק כתב התביעה והבקשה למתן צו המניעה השני הם אלו שהומצאו לידי ה</w:t>
      </w:r>
      <w:r w:rsidR="00E8440F">
        <w:rPr>
          <w:rFonts w:ascii="David" w:hAnsi="David" w:cs="David" w:hint="cs"/>
          <w:sz w:val="24"/>
          <w:szCs w:val="24"/>
          <w:rtl/>
        </w:rPr>
        <w:t>מערער</w:t>
      </w:r>
      <w:r>
        <w:rPr>
          <w:rFonts w:ascii="David" w:hAnsi="David" w:cs="David"/>
          <w:sz w:val="24"/>
          <w:szCs w:val="24"/>
          <w:rtl/>
        </w:rPr>
        <w:t xml:space="preserve"> ולא צו המניעה השני עצמו, </w:t>
      </w:r>
      <w:r w:rsidR="00E8440F">
        <w:rPr>
          <w:rFonts w:ascii="David" w:hAnsi="David" w:cs="David"/>
          <w:sz w:val="24"/>
          <w:szCs w:val="24"/>
          <w:rtl/>
        </w:rPr>
        <w:t>וזאת</w:t>
      </w:r>
      <w:r w:rsidR="00E8440F">
        <w:rPr>
          <w:rFonts w:ascii="David" w:hAnsi="David" w:cs="David" w:hint="cs"/>
          <w:sz w:val="24"/>
          <w:szCs w:val="24"/>
          <w:rtl/>
        </w:rPr>
        <w:t xml:space="preserve">, </w:t>
      </w:r>
      <w:r>
        <w:rPr>
          <w:rFonts w:ascii="David" w:hAnsi="David" w:cs="David"/>
          <w:sz w:val="24"/>
          <w:szCs w:val="24"/>
          <w:rtl/>
        </w:rPr>
        <w:t>כאמור</w:t>
      </w:r>
      <w:r w:rsidR="00E8440F">
        <w:rPr>
          <w:rFonts w:ascii="David" w:hAnsi="David" w:cs="David" w:hint="cs"/>
          <w:sz w:val="24"/>
          <w:szCs w:val="24"/>
          <w:rtl/>
        </w:rPr>
        <w:t>,</w:t>
      </w:r>
      <w:r>
        <w:rPr>
          <w:rFonts w:ascii="David" w:hAnsi="David" w:cs="David"/>
          <w:sz w:val="24"/>
          <w:szCs w:val="24"/>
          <w:rtl/>
        </w:rPr>
        <w:t xml:space="preserve"> בניגו</w:t>
      </w:r>
      <w:r w:rsidR="00E8440F">
        <w:rPr>
          <w:rFonts w:ascii="David" w:hAnsi="David" w:cs="David"/>
          <w:sz w:val="24"/>
          <w:szCs w:val="24"/>
          <w:rtl/>
        </w:rPr>
        <w:t>ד לתקנות סדר הדין האזרחי ולהחלט</w:t>
      </w:r>
      <w:r w:rsidR="00E8440F">
        <w:rPr>
          <w:rFonts w:ascii="David" w:hAnsi="David" w:cs="David" w:hint="cs"/>
          <w:sz w:val="24"/>
          <w:szCs w:val="24"/>
          <w:rtl/>
        </w:rPr>
        <w:t>ת בית המשפט קמא</w:t>
      </w:r>
      <w:r w:rsidR="00E8440F">
        <w:rPr>
          <w:rFonts w:ascii="David" w:hAnsi="David" w:cs="David"/>
          <w:sz w:val="24"/>
          <w:szCs w:val="24"/>
          <w:rtl/>
        </w:rPr>
        <w:t xml:space="preserve"> מיום 18.09.2022. גם ב</w:t>
      </w:r>
      <w:r w:rsidR="00E8440F">
        <w:rPr>
          <w:rFonts w:ascii="David" w:hAnsi="David" w:cs="David" w:hint="cs"/>
          <w:sz w:val="24"/>
          <w:szCs w:val="24"/>
          <w:rtl/>
        </w:rPr>
        <w:t xml:space="preserve">תשובת </w:t>
      </w:r>
      <w:r>
        <w:rPr>
          <w:rFonts w:ascii="David" w:hAnsi="David" w:cs="David"/>
          <w:sz w:val="24"/>
          <w:szCs w:val="24"/>
          <w:rtl/>
        </w:rPr>
        <w:t>המשיבים לא מצאתי כי אלה הכחישו את טענת המערער שהצו לא הומצא לו. ודוק, יש הבדל בין המצאת הבקשה למתן צו מניעה זמני לבין המצאת צו המניעה הזמני עצמו.</w:t>
      </w:r>
    </w:p>
    <w:p w:rsidR="005C0B67" w:rsidRDefault="005C0B67" w:rsidP="005C0B67">
      <w:pPr>
        <w:spacing w:line="360" w:lineRule="auto"/>
        <w:jc w:val="both"/>
        <w:rPr>
          <w:rFonts w:ascii="David" w:hAnsi="David"/>
          <w:rtl/>
        </w:rPr>
      </w:pPr>
    </w:p>
    <w:p w:rsidR="005C0B67" w:rsidRDefault="005C0B67" w:rsidP="005C0B67">
      <w:pPr>
        <w:pStyle w:val="ad"/>
        <w:numPr>
          <w:ilvl w:val="0"/>
          <w:numId w:val="7"/>
        </w:numPr>
        <w:spacing w:line="360" w:lineRule="auto"/>
        <w:jc w:val="both"/>
        <w:rPr>
          <w:rFonts w:ascii="David" w:hAnsi="David" w:cs="David"/>
          <w:sz w:val="24"/>
          <w:szCs w:val="24"/>
        </w:rPr>
      </w:pPr>
      <w:r>
        <w:rPr>
          <w:rFonts w:ascii="David" w:hAnsi="David" w:cs="David"/>
          <w:sz w:val="24"/>
          <w:szCs w:val="24"/>
          <w:rtl/>
        </w:rPr>
        <w:t xml:space="preserve">שנית, הפסיקה קבעה כי דיון במעמד בעלי הדין הינו בגדר "דרך המלך", שכן </w:t>
      </w:r>
      <w:r>
        <w:rPr>
          <w:rFonts w:ascii="David" w:hAnsi="David" w:cs="David"/>
          <w:color w:val="000000"/>
          <w:sz w:val="24"/>
          <w:szCs w:val="24"/>
          <w:rtl/>
        </w:rPr>
        <w:t xml:space="preserve">כידוע, </w:t>
      </w:r>
      <w:r>
        <w:rPr>
          <w:rFonts w:ascii="David" w:hAnsi="David" w:cs="David"/>
          <w:b/>
          <w:bCs/>
          <w:color w:val="000000"/>
          <w:sz w:val="24"/>
          <w:szCs w:val="24"/>
          <w:rtl/>
        </w:rPr>
        <w:t>"לבקשות למתן סעד זמני נודעת חשיבות מעשית רבה משעה שהכרעה בהן עשויה להשליך באופן מרחיק לכת על האינטרסים והזכויות של הצדדים, ולעיתים אף על גורל התיק העיקרי כולו [...]. לפיכך, בבואו ליתן החלטה בעניין סעדים זמניים, שומה על בית המשפט לבחון כדבעי את מכלול טענות הצדדים, בהתאם לאמות המידה שהותוו בדין"</w:t>
      </w:r>
      <w:r>
        <w:rPr>
          <w:rFonts w:ascii="David" w:hAnsi="David" w:cs="David"/>
          <w:b/>
          <w:bCs/>
          <w:color w:val="000000"/>
          <w:sz w:val="24"/>
          <w:szCs w:val="24"/>
        </w:rPr>
        <w:t xml:space="preserve"> </w:t>
      </w:r>
      <w:r>
        <w:rPr>
          <w:rFonts w:ascii="David" w:hAnsi="David" w:cs="David"/>
          <w:color w:val="000000"/>
          <w:sz w:val="24"/>
          <w:szCs w:val="24"/>
          <w:rtl/>
        </w:rPr>
        <w:t>(עיינו רע"א</w:t>
      </w:r>
      <w:r>
        <w:rPr>
          <w:rFonts w:ascii="David" w:hAnsi="David" w:cs="David"/>
          <w:sz w:val="24"/>
          <w:szCs w:val="24"/>
          <w:rtl/>
        </w:rPr>
        <w:t xml:space="preserve"> 2700/23 </w:t>
      </w:r>
      <w:r>
        <w:rPr>
          <w:rFonts w:ascii="David" w:hAnsi="David" w:cs="David"/>
          <w:b/>
          <w:bCs/>
          <w:sz w:val="24"/>
          <w:szCs w:val="24"/>
          <w:rtl/>
        </w:rPr>
        <w:t>ג'ואד כנאני נ' חוסיין עזאיזה</w:t>
      </w:r>
      <w:r>
        <w:rPr>
          <w:rFonts w:ascii="David" w:hAnsi="David" w:cs="David"/>
          <w:sz w:val="24"/>
          <w:szCs w:val="24"/>
          <w:rtl/>
        </w:rPr>
        <w:t> (נבו 17.07.2023)‏ והאסמכתאות המצוינות שם), ובדרך שהותוותה בדין, שהיא על דרך הכלל, במעמד בעלי הדין (עיינו רע"א 8339/21 </w:t>
      </w:r>
      <w:r>
        <w:rPr>
          <w:rFonts w:ascii="David" w:hAnsi="David" w:cs="David"/>
          <w:b/>
          <w:bCs/>
          <w:sz w:val="24"/>
          <w:szCs w:val="24"/>
          <w:rtl/>
        </w:rPr>
        <w:t>עצמאות ניהול מלונות בע"מ נ' פלטרין השקעות בע"מ</w:t>
      </w:r>
      <w:r>
        <w:rPr>
          <w:rFonts w:ascii="David" w:hAnsi="David" w:cs="David"/>
          <w:sz w:val="24"/>
          <w:szCs w:val="24"/>
          <w:rtl/>
        </w:rPr>
        <w:t> (נבו 21.06.2022)‏</w:t>
      </w:r>
      <w:r>
        <w:rPr>
          <w:rFonts w:ascii="David" w:hAnsi="David" w:cs="David"/>
          <w:color w:val="000000"/>
          <w:sz w:val="24"/>
          <w:szCs w:val="24"/>
          <w:rtl/>
        </w:rPr>
        <w:t xml:space="preserve">‏), וכן רע"א 2700/23 </w:t>
      </w:r>
      <w:r>
        <w:rPr>
          <w:rFonts w:ascii="David" w:hAnsi="David" w:cs="David"/>
          <w:b/>
          <w:bCs/>
          <w:color w:val="000000"/>
          <w:sz w:val="24"/>
          <w:szCs w:val="24"/>
          <w:rtl/>
        </w:rPr>
        <w:t>ג'ואד כנאני נ' חוסיין עזאיזה</w:t>
      </w:r>
      <w:r>
        <w:rPr>
          <w:rFonts w:ascii="David" w:hAnsi="David" w:cs="David"/>
          <w:color w:val="000000"/>
          <w:sz w:val="24"/>
          <w:szCs w:val="24"/>
          <w:rtl/>
        </w:rPr>
        <w:t xml:space="preserve"> (נבו 17.07.2023)).</w:t>
      </w:r>
    </w:p>
    <w:p w:rsidR="005C0B67" w:rsidRDefault="005C0B67" w:rsidP="005C0B67">
      <w:pPr>
        <w:pStyle w:val="ad"/>
        <w:spacing w:line="360" w:lineRule="auto"/>
        <w:ind w:left="786"/>
        <w:jc w:val="both"/>
        <w:rPr>
          <w:rFonts w:ascii="David" w:hAnsi="David" w:cs="David"/>
          <w:sz w:val="24"/>
          <w:szCs w:val="24"/>
          <w:rtl/>
        </w:rPr>
      </w:pPr>
    </w:p>
    <w:p w:rsidR="005C0B67" w:rsidRDefault="005C0B67" w:rsidP="005C0B67">
      <w:pPr>
        <w:pStyle w:val="ad"/>
        <w:spacing w:line="360" w:lineRule="auto"/>
        <w:ind w:left="786"/>
        <w:jc w:val="both"/>
        <w:rPr>
          <w:rFonts w:ascii="David" w:hAnsi="David" w:cs="David"/>
          <w:sz w:val="24"/>
          <w:szCs w:val="24"/>
          <w:rtl/>
        </w:rPr>
      </w:pPr>
      <w:r>
        <w:rPr>
          <w:rFonts w:ascii="David" w:hAnsi="David" w:cs="David"/>
          <w:sz w:val="24"/>
          <w:szCs w:val="24"/>
          <w:rtl/>
        </w:rPr>
        <w:t>יוצא אפוא  שדיון במעמד בעלי הדין הינו בגדר "דרך המלך", דרך שלא צעדו בה.</w:t>
      </w:r>
    </w:p>
    <w:p w:rsidR="005C0B67" w:rsidRDefault="005C0B67" w:rsidP="005C0B67">
      <w:pPr>
        <w:pStyle w:val="ad"/>
        <w:spacing w:line="360" w:lineRule="auto"/>
        <w:ind w:left="786"/>
        <w:jc w:val="both"/>
        <w:rPr>
          <w:rFonts w:ascii="David" w:hAnsi="David" w:cs="David"/>
          <w:sz w:val="24"/>
          <w:szCs w:val="24"/>
          <w:rtl/>
        </w:rPr>
      </w:pPr>
    </w:p>
    <w:p w:rsidR="005C0B67" w:rsidRDefault="005C0B67" w:rsidP="005C0B67">
      <w:pPr>
        <w:pStyle w:val="ad"/>
        <w:spacing w:line="360" w:lineRule="auto"/>
        <w:ind w:left="786"/>
        <w:jc w:val="both"/>
        <w:rPr>
          <w:rFonts w:ascii="David" w:hAnsi="David" w:cs="David"/>
          <w:b/>
          <w:bCs/>
          <w:sz w:val="24"/>
          <w:szCs w:val="24"/>
          <w:rtl/>
        </w:rPr>
      </w:pPr>
      <w:r>
        <w:rPr>
          <w:rFonts w:ascii="David" w:hAnsi="David" w:cs="David"/>
          <w:b/>
          <w:bCs/>
          <w:sz w:val="24"/>
          <w:szCs w:val="24"/>
          <w:rtl/>
        </w:rPr>
        <w:t>די בשני נימוקים אלה כדי לקבל את עמדת המערער.</w:t>
      </w:r>
    </w:p>
    <w:p w:rsidR="005C0B67" w:rsidRDefault="005C0B67" w:rsidP="005C0B67">
      <w:pPr>
        <w:pStyle w:val="ad"/>
        <w:spacing w:line="360" w:lineRule="auto"/>
        <w:jc w:val="both"/>
        <w:rPr>
          <w:rFonts w:ascii="David" w:hAnsi="David" w:cs="David"/>
          <w:sz w:val="24"/>
          <w:szCs w:val="24"/>
          <w:rtl/>
        </w:rPr>
      </w:pPr>
    </w:p>
    <w:p w:rsidR="00EB6100" w:rsidRDefault="005C0B67" w:rsidP="00EB6100">
      <w:pPr>
        <w:pStyle w:val="ad"/>
        <w:numPr>
          <w:ilvl w:val="0"/>
          <w:numId w:val="7"/>
        </w:numPr>
        <w:spacing w:line="360" w:lineRule="auto"/>
        <w:jc w:val="both"/>
        <w:rPr>
          <w:rFonts w:ascii="David" w:hAnsi="David" w:cs="David"/>
          <w:sz w:val="24"/>
          <w:szCs w:val="24"/>
        </w:rPr>
      </w:pPr>
      <w:r>
        <w:rPr>
          <w:rFonts w:ascii="David" w:hAnsi="David" w:cs="David"/>
          <w:sz w:val="24"/>
          <w:szCs w:val="24"/>
          <w:rtl/>
        </w:rPr>
        <w:t>טעם נוסף לקבלת הערעור הוא שאינני בדעה אחת עם קביעת בית משפט קמא כי המערער הגיש את בקשתו לביטול צו המניעה השני בשיהוי</w:t>
      </w:r>
      <w:r w:rsidR="00E8440F">
        <w:rPr>
          <w:rFonts w:ascii="David" w:hAnsi="David" w:cs="David" w:hint="cs"/>
          <w:sz w:val="24"/>
          <w:szCs w:val="24"/>
          <w:rtl/>
        </w:rPr>
        <w:t xml:space="preserve">. בית משפט קמא סבר כי מתגובת </w:t>
      </w:r>
      <w:r w:rsidR="00E8440F">
        <w:rPr>
          <w:rFonts w:ascii="David" w:hAnsi="David" w:cs="David" w:hint="cs"/>
          <w:sz w:val="24"/>
          <w:szCs w:val="24"/>
          <w:rtl/>
        </w:rPr>
        <w:lastRenderedPageBreak/>
        <w:t xml:space="preserve">המבקש שהוגשה </w:t>
      </w:r>
      <w:r w:rsidR="00EB6100">
        <w:rPr>
          <w:rFonts w:ascii="David" w:hAnsi="David" w:cs="David" w:hint="cs"/>
          <w:sz w:val="24"/>
          <w:szCs w:val="24"/>
          <w:rtl/>
        </w:rPr>
        <w:t xml:space="preserve">לבית משפט קמא </w:t>
      </w:r>
      <w:r w:rsidR="00E8440F">
        <w:rPr>
          <w:rFonts w:ascii="David" w:hAnsi="David" w:cs="David" w:hint="cs"/>
          <w:sz w:val="24"/>
          <w:szCs w:val="24"/>
          <w:rtl/>
        </w:rPr>
        <w:t>עוד ביום</w:t>
      </w:r>
      <w:r>
        <w:rPr>
          <w:rFonts w:ascii="David" w:hAnsi="David" w:cs="David"/>
          <w:sz w:val="24"/>
          <w:szCs w:val="24"/>
          <w:rtl/>
        </w:rPr>
        <w:t xml:space="preserve"> 01.12.2022</w:t>
      </w:r>
      <w:r w:rsidR="00E8440F">
        <w:rPr>
          <w:rFonts w:ascii="David" w:hAnsi="David" w:cs="David" w:hint="cs"/>
          <w:sz w:val="24"/>
          <w:szCs w:val="24"/>
          <w:rtl/>
        </w:rPr>
        <w:t>,</w:t>
      </w:r>
      <w:r>
        <w:rPr>
          <w:rFonts w:ascii="David" w:hAnsi="David" w:cs="David"/>
          <w:sz w:val="24"/>
          <w:szCs w:val="24"/>
          <w:rtl/>
        </w:rPr>
        <w:t xml:space="preserve"> היה </w:t>
      </w:r>
      <w:r w:rsidR="00EB6100">
        <w:rPr>
          <w:rFonts w:ascii="David" w:hAnsi="David" w:cs="David" w:hint="cs"/>
          <w:sz w:val="24"/>
          <w:szCs w:val="24"/>
          <w:rtl/>
        </w:rPr>
        <w:t xml:space="preserve">המבקש עוד אז </w:t>
      </w:r>
      <w:r>
        <w:rPr>
          <w:rFonts w:ascii="David" w:hAnsi="David" w:cs="David"/>
          <w:sz w:val="24"/>
          <w:szCs w:val="24"/>
          <w:rtl/>
        </w:rPr>
        <w:t>מודע לצו</w:t>
      </w:r>
      <w:r w:rsidR="00EB6100">
        <w:rPr>
          <w:rFonts w:ascii="David" w:hAnsi="David" w:cs="David" w:hint="cs"/>
          <w:sz w:val="24"/>
          <w:szCs w:val="24"/>
          <w:rtl/>
        </w:rPr>
        <w:t xml:space="preserve"> ובחר שלא להגיש כל בקשה באותה עת</w:t>
      </w:r>
      <w:r>
        <w:rPr>
          <w:rFonts w:ascii="David" w:hAnsi="David" w:cs="David"/>
          <w:sz w:val="24"/>
          <w:szCs w:val="24"/>
          <w:rtl/>
        </w:rPr>
        <w:t xml:space="preserve">. </w:t>
      </w:r>
    </w:p>
    <w:p w:rsidR="00596AF2" w:rsidRDefault="00596AF2" w:rsidP="00596AF2">
      <w:pPr>
        <w:pStyle w:val="ad"/>
        <w:spacing w:line="360" w:lineRule="auto"/>
        <w:ind w:left="786"/>
        <w:jc w:val="both"/>
        <w:rPr>
          <w:rFonts w:ascii="David" w:hAnsi="David" w:cs="David"/>
          <w:sz w:val="24"/>
          <w:szCs w:val="24"/>
        </w:rPr>
      </w:pPr>
    </w:p>
    <w:p w:rsidR="00E75DD3" w:rsidRDefault="005C0B67" w:rsidP="00E75DD3">
      <w:pPr>
        <w:pStyle w:val="ad"/>
        <w:spacing w:line="360" w:lineRule="auto"/>
        <w:ind w:left="786"/>
        <w:jc w:val="both"/>
        <w:rPr>
          <w:rFonts w:ascii="David" w:hAnsi="David" w:cs="David"/>
          <w:sz w:val="24"/>
          <w:szCs w:val="24"/>
          <w:rtl/>
        </w:rPr>
      </w:pPr>
      <w:r>
        <w:rPr>
          <w:rFonts w:ascii="David" w:hAnsi="David" w:cs="David"/>
          <w:sz w:val="24"/>
          <w:szCs w:val="24"/>
          <w:rtl/>
        </w:rPr>
        <w:t xml:space="preserve">המערער </w:t>
      </w:r>
      <w:r w:rsidR="00EB6100">
        <w:rPr>
          <w:rFonts w:ascii="David" w:hAnsi="David" w:cs="David" w:hint="cs"/>
          <w:sz w:val="24"/>
          <w:szCs w:val="24"/>
          <w:rtl/>
        </w:rPr>
        <w:t xml:space="preserve">הבהיר </w:t>
      </w:r>
      <w:r>
        <w:rPr>
          <w:rFonts w:ascii="David" w:hAnsi="David" w:cs="David"/>
          <w:sz w:val="24"/>
          <w:szCs w:val="24"/>
          <w:rtl/>
        </w:rPr>
        <w:t xml:space="preserve">כי היה מודע לצו המניעה </w:t>
      </w:r>
      <w:r w:rsidRPr="00EB6100">
        <w:rPr>
          <w:rFonts w:ascii="David" w:hAnsi="David" w:cs="David"/>
          <w:sz w:val="24"/>
          <w:szCs w:val="24"/>
          <w:u w:val="single"/>
          <w:rtl/>
        </w:rPr>
        <w:t>הראשון</w:t>
      </w:r>
      <w:r>
        <w:rPr>
          <w:rFonts w:ascii="David" w:hAnsi="David" w:cs="David"/>
          <w:sz w:val="24"/>
          <w:szCs w:val="24"/>
          <w:rtl/>
        </w:rPr>
        <w:t xml:space="preserve"> שניתן בהליך הקודם ולא לצו המניעה השני, הוא הצו הנוכחי,</w:t>
      </w:r>
      <w:r w:rsidR="00E75DD3">
        <w:rPr>
          <w:rFonts w:ascii="David" w:hAnsi="David" w:cs="David"/>
          <w:sz w:val="24"/>
          <w:szCs w:val="24"/>
          <w:rtl/>
        </w:rPr>
        <w:t xml:space="preserve"> שניתן בתיק מושא הערעור.</w:t>
      </w:r>
      <w:r w:rsidR="00E75DD3">
        <w:rPr>
          <w:rFonts w:ascii="David" w:hAnsi="David" w:cs="David" w:hint="cs"/>
          <w:sz w:val="24"/>
          <w:szCs w:val="24"/>
          <w:rtl/>
        </w:rPr>
        <w:t xml:space="preserve"> המערער צירף </w:t>
      </w:r>
      <w:r>
        <w:rPr>
          <w:rFonts w:ascii="David" w:hAnsi="David" w:cs="David"/>
          <w:sz w:val="24"/>
          <w:szCs w:val="24"/>
          <w:rtl/>
        </w:rPr>
        <w:t xml:space="preserve">את </w:t>
      </w:r>
      <w:r w:rsidR="00E75DD3">
        <w:rPr>
          <w:rFonts w:ascii="David" w:hAnsi="David" w:cs="David" w:hint="cs"/>
          <w:sz w:val="24"/>
          <w:szCs w:val="24"/>
          <w:rtl/>
        </w:rPr>
        <w:t>ההחלטה מההליך הראשון, היא ההחלטה</w:t>
      </w:r>
      <w:r>
        <w:rPr>
          <w:rFonts w:ascii="David" w:hAnsi="David" w:cs="David"/>
          <w:sz w:val="24"/>
          <w:szCs w:val="24"/>
          <w:rtl/>
        </w:rPr>
        <w:t xml:space="preserve"> מיום 13.07.2022, שהורתה לצדדים להודיע האם פניהם לגישור, לחלופין נקיטת הליכים משפטיים נוספים וביטול צו המניעה הראשון תוך 60 ימים. </w:t>
      </w:r>
    </w:p>
    <w:p w:rsidR="00596AF2" w:rsidRDefault="00596AF2" w:rsidP="00E75DD3">
      <w:pPr>
        <w:pStyle w:val="ad"/>
        <w:spacing w:line="360" w:lineRule="auto"/>
        <w:ind w:left="786"/>
        <w:jc w:val="both"/>
        <w:rPr>
          <w:rFonts w:ascii="David" w:hAnsi="David" w:cs="David"/>
          <w:sz w:val="24"/>
          <w:szCs w:val="24"/>
          <w:rtl/>
        </w:rPr>
      </w:pPr>
    </w:p>
    <w:p w:rsidR="005C0B67" w:rsidRDefault="00E75DD3" w:rsidP="00E75DD3">
      <w:pPr>
        <w:pStyle w:val="ad"/>
        <w:spacing w:line="360" w:lineRule="auto"/>
        <w:ind w:left="786"/>
        <w:jc w:val="both"/>
        <w:rPr>
          <w:rFonts w:ascii="David" w:hAnsi="David" w:cs="David"/>
          <w:b/>
          <w:bCs/>
          <w:sz w:val="24"/>
          <w:szCs w:val="24"/>
        </w:rPr>
      </w:pPr>
      <w:r>
        <w:rPr>
          <w:rFonts w:ascii="David" w:hAnsi="David" w:cs="David" w:hint="cs"/>
          <w:sz w:val="24"/>
          <w:szCs w:val="24"/>
          <w:rtl/>
        </w:rPr>
        <w:t xml:space="preserve">יוצא איפוא, כי יש רגליים לטענת המערער </w:t>
      </w:r>
      <w:r w:rsidR="005C0B67">
        <w:rPr>
          <w:rFonts w:ascii="David" w:hAnsi="David" w:cs="David"/>
          <w:sz w:val="24"/>
          <w:szCs w:val="24"/>
          <w:rtl/>
        </w:rPr>
        <w:t xml:space="preserve">כי ידיעתו הייתה אך בקשר לצו המניעה הראשון ולא </w:t>
      </w:r>
      <w:r>
        <w:rPr>
          <w:rFonts w:ascii="David" w:hAnsi="David" w:cs="David" w:hint="cs"/>
          <w:sz w:val="24"/>
          <w:szCs w:val="24"/>
          <w:rtl/>
        </w:rPr>
        <w:t xml:space="preserve">לצו המניעה </w:t>
      </w:r>
      <w:r>
        <w:rPr>
          <w:rFonts w:ascii="David" w:hAnsi="David" w:cs="David"/>
          <w:sz w:val="24"/>
          <w:szCs w:val="24"/>
          <w:rtl/>
        </w:rPr>
        <w:t>השני</w:t>
      </w:r>
      <w:r>
        <w:rPr>
          <w:rFonts w:ascii="David" w:hAnsi="David" w:cs="David" w:hint="cs"/>
          <w:sz w:val="24"/>
          <w:szCs w:val="24"/>
          <w:rtl/>
        </w:rPr>
        <w:t xml:space="preserve"> שכאמור המשיבים לא המ</w:t>
      </w:r>
      <w:r w:rsidR="00BD003C">
        <w:rPr>
          <w:rFonts w:ascii="David" w:hAnsi="David" w:cs="David" w:hint="cs"/>
          <w:sz w:val="24"/>
          <w:szCs w:val="24"/>
          <w:rtl/>
        </w:rPr>
        <w:t xml:space="preserve">ציאוהו. </w:t>
      </w:r>
    </w:p>
    <w:p w:rsidR="005C0B67" w:rsidRDefault="005C0B67" w:rsidP="005C0B67">
      <w:pPr>
        <w:pStyle w:val="ad"/>
        <w:spacing w:line="360" w:lineRule="auto"/>
        <w:ind w:left="786"/>
        <w:jc w:val="both"/>
        <w:rPr>
          <w:rFonts w:ascii="David" w:hAnsi="David" w:cs="David"/>
          <w:b/>
          <w:bCs/>
          <w:sz w:val="24"/>
          <w:szCs w:val="24"/>
          <w:rtl/>
        </w:rPr>
      </w:pPr>
    </w:p>
    <w:p w:rsidR="005C0B67" w:rsidRDefault="005C0B67" w:rsidP="005C0B67">
      <w:pPr>
        <w:pStyle w:val="ad"/>
        <w:numPr>
          <w:ilvl w:val="0"/>
          <w:numId w:val="7"/>
        </w:numPr>
        <w:spacing w:line="360" w:lineRule="auto"/>
        <w:jc w:val="both"/>
        <w:rPr>
          <w:rFonts w:ascii="David" w:hAnsi="David"/>
          <w:rtl/>
        </w:rPr>
      </w:pPr>
      <w:r>
        <w:rPr>
          <w:rFonts w:ascii="David" w:hAnsi="David" w:cs="David"/>
          <w:sz w:val="24"/>
          <w:szCs w:val="24"/>
          <w:rtl/>
        </w:rPr>
        <w:t xml:space="preserve">זאת ועוד, בית משפט קמא קבע מפורשות בהחלטתו למתן צו המניעה השני שניתן במעמד צד אחד כי: </w:t>
      </w:r>
      <w:r>
        <w:rPr>
          <w:rFonts w:ascii="David" w:hAnsi="David" w:cs="David"/>
          <w:b/>
          <w:bCs/>
          <w:sz w:val="24"/>
          <w:szCs w:val="24"/>
          <w:rtl/>
        </w:rPr>
        <w:t>"ככל שהמשיב יודיע על רצונו לקיים דיון בבקשה, בכל עת, יקבע דיון בבקשה במעמד הצדדים בהקדם האפשרי"</w:t>
      </w:r>
      <w:r>
        <w:rPr>
          <w:rFonts w:ascii="David" w:hAnsi="David" w:cs="David"/>
          <w:sz w:val="24"/>
          <w:szCs w:val="24"/>
          <w:rtl/>
        </w:rPr>
        <w:t xml:space="preserve"> (ראו סע' 8 להחלטה). בית משפט קמא לא הגביל מועד להגשת הבקשה ודומני כי די בספק שהעלה המבקש באשר להמצאה ולידיעה, ובהתאם ללשון ההחלטה ותקנות סדר הדין האזרחי ליתן למבקש את יומו. </w:t>
      </w:r>
    </w:p>
    <w:p w:rsidR="005C0B67" w:rsidRDefault="005C0B67" w:rsidP="005C0B67">
      <w:pPr>
        <w:pStyle w:val="ad"/>
        <w:spacing w:line="360" w:lineRule="auto"/>
        <w:ind w:left="786"/>
        <w:jc w:val="both"/>
        <w:rPr>
          <w:rFonts w:ascii="David" w:hAnsi="David"/>
          <w:rtl/>
        </w:rPr>
      </w:pPr>
    </w:p>
    <w:p w:rsidR="005C0B67" w:rsidRDefault="005C0B67" w:rsidP="005C0B67">
      <w:pPr>
        <w:pStyle w:val="ad"/>
        <w:numPr>
          <w:ilvl w:val="0"/>
          <w:numId w:val="6"/>
        </w:numPr>
        <w:spacing w:line="360" w:lineRule="auto"/>
        <w:ind w:left="786"/>
        <w:jc w:val="both"/>
        <w:rPr>
          <w:rFonts w:ascii="David" w:hAnsi="David" w:cs="David"/>
          <w:sz w:val="24"/>
          <w:szCs w:val="24"/>
          <w:rtl/>
        </w:rPr>
      </w:pPr>
      <w:r>
        <w:rPr>
          <w:rFonts w:ascii="David" w:hAnsi="David" w:cs="David"/>
          <w:sz w:val="24"/>
          <w:szCs w:val="24"/>
          <w:rtl/>
        </w:rPr>
        <w:t xml:space="preserve">כאמור מדובר בשני הליכים משפטיים נפרדים. ההליך האחד הוכרע ונסגר ובעקבותיו בוטל צו המניעה, ואילו ההליך שני נפתח לאחר כשש שנים ולא התקיים בו דיון במעמד שני הצדדים חרף תקנות סדר הדין האזרחי, חרף ההלכה בדבר היות הדיון במעמד בעלי הדין "דרך המלך" וחרף סעיפים 6 ו 8 להחלטת בית משפט קמא מיום 18.09.2022. </w:t>
      </w:r>
    </w:p>
    <w:p w:rsidR="005C0B67" w:rsidRDefault="005C0B67" w:rsidP="005C0B67">
      <w:pPr>
        <w:pStyle w:val="ad"/>
        <w:spacing w:line="360" w:lineRule="auto"/>
        <w:ind w:left="786"/>
        <w:jc w:val="both"/>
        <w:rPr>
          <w:rFonts w:ascii="David" w:hAnsi="David"/>
        </w:rPr>
      </w:pPr>
    </w:p>
    <w:p w:rsidR="005C0B67" w:rsidRDefault="005C0B67" w:rsidP="005C0B67">
      <w:pPr>
        <w:pStyle w:val="ad"/>
        <w:numPr>
          <w:ilvl w:val="0"/>
          <w:numId w:val="6"/>
        </w:numPr>
        <w:spacing w:line="360" w:lineRule="auto"/>
        <w:jc w:val="both"/>
        <w:rPr>
          <w:rFonts w:ascii="David" w:hAnsi="David" w:cs="David"/>
          <w:sz w:val="24"/>
          <w:szCs w:val="24"/>
        </w:rPr>
      </w:pPr>
      <w:r>
        <w:rPr>
          <w:rFonts w:ascii="David" w:hAnsi="David" w:cs="David"/>
          <w:sz w:val="24"/>
          <w:szCs w:val="24"/>
          <w:rtl/>
        </w:rPr>
        <w:t>אשר על כן, מתבקש בית משפט קמא לקבוע דיון בבקשה לצו המניעה וזאת בהתאם לתפוסת יומנו. כאמור, אין בהחלטתי זו כדי להביע כל עמדה באשר לגוף ההחלטה.</w:t>
      </w:r>
    </w:p>
    <w:p w:rsidR="005C0B67" w:rsidRDefault="005C0B67" w:rsidP="005C0B67">
      <w:pPr>
        <w:pStyle w:val="ad"/>
        <w:spacing w:line="360" w:lineRule="auto"/>
        <w:ind w:left="-58"/>
        <w:jc w:val="both"/>
        <w:rPr>
          <w:rFonts w:ascii="David" w:hAnsi="David" w:cs="David"/>
          <w:sz w:val="24"/>
          <w:szCs w:val="24"/>
        </w:rPr>
      </w:pPr>
    </w:p>
    <w:p w:rsidR="005C0B67" w:rsidRDefault="005C0B67" w:rsidP="00BD003C">
      <w:pPr>
        <w:pStyle w:val="ad"/>
        <w:numPr>
          <w:ilvl w:val="0"/>
          <w:numId w:val="6"/>
        </w:numPr>
        <w:spacing w:line="360" w:lineRule="auto"/>
        <w:jc w:val="both"/>
        <w:rPr>
          <w:rFonts w:ascii="David" w:hAnsi="David" w:cs="David"/>
          <w:sz w:val="24"/>
          <w:szCs w:val="24"/>
        </w:rPr>
      </w:pPr>
      <w:r>
        <w:rPr>
          <w:rFonts w:ascii="David" w:hAnsi="David" w:cs="David"/>
          <w:sz w:val="24"/>
          <w:szCs w:val="24"/>
          <w:rtl/>
        </w:rPr>
        <w:t>המשיבים יישאו בהוצאות המבקש ובשכ"ט עו"ד בגין הליך זה בסך של 3,</w:t>
      </w:r>
      <w:r w:rsidR="00BD003C">
        <w:rPr>
          <w:rFonts w:ascii="David" w:hAnsi="David" w:cs="David" w:hint="cs"/>
          <w:sz w:val="24"/>
          <w:szCs w:val="24"/>
          <w:rtl/>
        </w:rPr>
        <w:t>5</w:t>
      </w:r>
      <w:r>
        <w:rPr>
          <w:rFonts w:ascii="David" w:hAnsi="David" w:cs="David"/>
          <w:sz w:val="24"/>
          <w:szCs w:val="24"/>
          <w:rtl/>
        </w:rPr>
        <w:t xml:space="preserve">00 ₪, וזאת תוך 30 ימים </w:t>
      </w:r>
      <w:r w:rsidR="00BD003C">
        <w:rPr>
          <w:rFonts w:ascii="David" w:hAnsi="David" w:cs="David" w:hint="cs"/>
          <w:sz w:val="24"/>
          <w:szCs w:val="24"/>
          <w:rtl/>
        </w:rPr>
        <w:t xml:space="preserve">מהיום, </w:t>
      </w:r>
      <w:r>
        <w:rPr>
          <w:rFonts w:ascii="David" w:hAnsi="David" w:cs="David"/>
          <w:sz w:val="24"/>
          <w:szCs w:val="24"/>
          <w:rtl/>
        </w:rPr>
        <w:t xml:space="preserve">שאם לא כן </w:t>
      </w:r>
      <w:r w:rsidR="00BD003C">
        <w:rPr>
          <w:rFonts w:ascii="David" w:hAnsi="David" w:cs="David" w:hint="cs"/>
          <w:sz w:val="24"/>
          <w:szCs w:val="24"/>
          <w:rtl/>
        </w:rPr>
        <w:t>י</w:t>
      </w:r>
      <w:r w:rsidR="00BD003C">
        <w:rPr>
          <w:rFonts w:ascii="David" w:hAnsi="David" w:cs="David"/>
          <w:sz w:val="24"/>
          <w:szCs w:val="24"/>
          <w:rtl/>
        </w:rPr>
        <w:t>ישא</w:t>
      </w:r>
      <w:r w:rsidR="00BD003C">
        <w:rPr>
          <w:rFonts w:ascii="David" w:hAnsi="David" w:cs="David" w:hint="cs"/>
          <w:sz w:val="24"/>
          <w:szCs w:val="24"/>
          <w:rtl/>
        </w:rPr>
        <w:t xml:space="preserve"> הסכום </w:t>
      </w:r>
      <w:r>
        <w:rPr>
          <w:rFonts w:ascii="David" w:hAnsi="David" w:cs="David"/>
          <w:sz w:val="24"/>
          <w:szCs w:val="24"/>
          <w:rtl/>
        </w:rPr>
        <w:t>הפרשי הצמדה וריבית.</w:t>
      </w:r>
    </w:p>
    <w:p w:rsidR="005C0B67" w:rsidRDefault="005C0B67" w:rsidP="005C0B67">
      <w:pPr>
        <w:pStyle w:val="ad"/>
        <w:spacing w:line="360" w:lineRule="auto"/>
        <w:jc w:val="both"/>
        <w:rPr>
          <w:rFonts w:ascii="David" w:hAnsi="David" w:cs="David"/>
          <w:sz w:val="24"/>
          <w:szCs w:val="24"/>
        </w:rPr>
      </w:pPr>
    </w:p>
    <w:p w:rsidR="005C0B67" w:rsidRDefault="005C0B67" w:rsidP="005C0B67">
      <w:pPr>
        <w:spacing w:line="360" w:lineRule="auto"/>
        <w:jc w:val="both"/>
        <w:rPr>
          <w:rFonts w:ascii="David" w:hAnsi="David"/>
          <w:b/>
          <w:bCs/>
          <w:u w:val="single"/>
          <w:rtl/>
        </w:rPr>
      </w:pPr>
      <w:r>
        <w:rPr>
          <w:rFonts w:ascii="David" w:hAnsi="David"/>
          <w:b/>
          <w:bCs/>
          <w:u w:val="single"/>
          <w:rtl/>
        </w:rPr>
        <w:t>המזכירות תמציא פסק הדין לצדדים ותסגור התיק.</w:t>
      </w:r>
    </w:p>
    <w:p w:rsidR="00596AF2" w:rsidRDefault="00596AF2" w:rsidP="005C0B67">
      <w:pPr>
        <w:spacing w:line="360" w:lineRule="auto"/>
        <w:jc w:val="both"/>
        <w:rPr>
          <w:rFonts w:ascii="David" w:hAnsi="David"/>
          <w:b/>
          <w:bCs/>
          <w:u w:val="single"/>
          <w:rtl/>
        </w:rPr>
      </w:pPr>
    </w:p>
    <w:p w:rsidR="00852EDD" w:rsidRDefault="008611F0" w:rsidP="005C0B67">
      <w:pPr>
        <w:spacing w:line="360" w:lineRule="auto"/>
        <w:jc w:val="both"/>
        <w:rPr>
          <w:rFonts w:ascii="Arial" w:hAnsi="Arial"/>
          <w:noProof w:val="0"/>
          <w:rtl/>
        </w:rPr>
      </w:pPr>
      <w:r>
        <w:rPr>
          <w:rFonts w:ascii="Arial" w:hAnsi="Arial" w:hint="cs"/>
          <w:noProof w:val="0"/>
          <w:rtl/>
        </w:rPr>
        <w:t xml:space="preserve">פסק הדין מותר לפרסום בהשמטת פרטים מזהים. </w:t>
      </w:r>
    </w:p>
    <w:p w:rsidR="005C0B67" w:rsidRDefault="005C0B67" w:rsidP="00852EDD">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733900493"/>
          <w:text w:multiLine="1"/>
        </w:sdtPr>
        <w:sdtEndPr/>
        <w:sdtContent>
          <w:r>
            <w:rPr>
              <w:rFonts w:ascii="Arial" w:hAnsi="Arial" w:hint="cs"/>
              <w:noProof w:val="0"/>
              <w:rtl/>
            </w:rPr>
            <w:t>י"ב אב תשפ"ג</w:t>
          </w:r>
        </w:sdtContent>
      </w:sdt>
      <w:r>
        <w:rPr>
          <w:rFonts w:ascii="Arial" w:hAnsi="Arial"/>
          <w:noProof w:val="0"/>
          <w:rtl/>
        </w:rPr>
        <w:t xml:space="preserve">, </w:t>
      </w:r>
      <w:sdt>
        <w:sdtPr>
          <w:rPr>
            <w:rtl/>
          </w:rPr>
          <w:alias w:val="1456"/>
          <w:tag w:val="1456"/>
          <w:id w:val="75940386"/>
          <w:text w:multiLine="1"/>
        </w:sdtPr>
        <w:sdtEndPr/>
        <w:sdtContent>
          <w:r>
            <w:rPr>
              <w:rFonts w:ascii="Arial" w:hAnsi="Arial" w:hint="cs"/>
              <w:noProof w:val="0"/>
              <w:rtl/>
            </w:rPr>
            <w:t>30 יולי 2023</w:t>
          </w:r>
        </w:sdtContent>
      </w:sdt>
      <w:r>
        <w:rPr>
          <w:rFonts w:ascii="Arial" w:hAnsi="Arial"/>
          <w:noProof w:val="0"/>
          <w:rtl/>
        </w:rPr>
        <w:t>, בהעדר הצדדים.</w:t>
      </w:r>
    </w:p>
    <w:p w:rsidR="005C0B67" w:rsidRDefault="00C005FF" w:rsidP="005C0B67">
      <w:pPr>
        <w:tabs>
          <w:tab w:val="left" w:pos="2553"/>
        </w:tabs>
        <w:ind w:left="5040"/>
        <w:rPr>
          <w:rtl/>
        </w:rPr>
      </w:pPr>
      <w:sdt>
        <w:sdtPr>
          <w:rPr>
            <w:rtl/>
          </w:rPr>
          <w:alias w:val="2045"/>
          <w:tag w:val="2045"/>
          <w:id w:val="135914796"/>
          <w:placeholder>
            <w:docPart w:val="B6F54F3CA9BF498A82DA9CB283BE2F59"/>
          </w:placeholder>
          <w:showingPlcHdr/>
          <w:text w:multiLine="1"/>
        </w:sdtPr>
        <w:sdtEndPr/>
        <w:sdtContent>
          <w:r w:rsidR="005C0B67">
            <w:rPr>
              <w:rtl/>
            </w:rPr>
            <w:t xml:space="preserve">     </w:t>
          </w:r>
        </w:sdtContent>
      </w:sdt>
    </w:p>
    <w:p w:rsidR="005C0B67" w:rsidRDefault="005C0B67" w:rsidP="00BD17B8">
      <w:pPr>
        <w:tabs>
          <w:tab w:val="left" w:pos="2553"/>
        </w:tabs>
      </w:pPr>
      <w:r>
        <w:rPr>
          <w:rtl/>
        </w:rPr>
        <w:lastRenderedPageBreak/>
        <w:tab/>
      </w:r>
      <w:r>
        <w:rPr>
          <w:rtl/>
        </w:rPr>
        <w:tab/>
      </w:r>
      <w:r>
        <w:rPr>
          <w:rtl/>
        </w:rPr>
        <w:tab/>
      </w:r>
      <w:r>
        <w:rPr>
          <w:rtl/>
        </w:rPr>
        <w:tab/>
        <w:t xml:space="preserve">        </w:t>
      </w:r>
      <w:sdt>
        <w:sdtPr>
          <w:rPr>
            <w:rtl/>
          </w:rPr>
          <w:alias w:val="MergeField"/>
          <w:tag w:val="1237"/>
          <w:id w:val="1647317885"/>
        </w:sdtPr>
        <w:sdtEndPr/>
        <w:sdtContent>
          <w:r w:rsidR="00BE43A0">
            <w:drawing>
              <wp:inline distT="0" distB="0" distL="0" distR="0" wp14:editId="50D07946">
                <wp:extent cx="135255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52550" cy="1019175"/>
                        </a:xfrm>
                        <a:prstGeom prst="rect">
                          <a:avLst/>
                        </a:prstGeom>
                      </pic:spPr>
                    </pic:pic>
                  </a:graphicData>
                </a:graphic>
              </wp:inline>
            </w:drawing>
          </w:r>
        </w:sdtContent>
      </w:sdt>
    </w:p>
    <w:p w:rsidR="005C0B67" w:rsidRDefault="005C0B67" w:rsidP="00BD17B8">
      <w:pPr>
        <w:tabs>
          <w:tab w:val="left" w:pos="2553"/>
        </w:tabs>
        <w:rPr>
          <w:rFonts w:ascii="Arial" w:hAnsi="Arial"/>
          <w:noProof w:val="0"/>
          <w:rtl/>
        </w:rPr>
      </w:pPr>
    </w:p>
    <w:sectPr w:rsidR="005C0B67" w:rsidSect="00891F42">
      <w:headerReference w:type="default" r:id="rId10"/>
      <w:footerReference w:type="default" r:id="rId11"/>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05FF" w:rsidRDefault="00C005FF">
      <w:r>
        <w:separator/>
      </w:r>
    </w:p>
  </w:endnote>
  <w:endnote w:type="continuationSeparator" w:id="0">
    <w:p w:rsidR="00C005FF" w:rsidRDefault="00C00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C2BE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C2BE2">
      <w:rPr>
        <w:rStyle w:val="ab"/>
        <w:rtl/>
      </w:rPr>
      <w:t>5</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05FF" w:rsidRDefault="00C005FF">
      <w:r>
        <w:separator/>
      </w:r>
    </w:p>
  </w:footnote>
  <w:footnote w:type="continuationSeparator" w:id="0">
    <w:p w:rsidR="00C005FF" w:rsidRDefault="00C00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707870">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rsidTr="00707870">
      <w:trPr>
        <w:trHeight w:val="337"/>
        <w:jc w:val="center"/>
      </w:trPr>
      <w:tc>
        <w:tcPr>
          <w:tcW w:w="8307" w:type="dxa"/>
        </w:tcPr>
        <w:p w:rsidR="007D45E3" w:rsidRDefault="00C005FF" w:rsidP="00596AF2">
          <w:pPr>
            <w:rPr>
              <w:b/>
              <w:bCs/>
              <w:noProof w:val="0"/>
              <w:sz w:val="26"/>
              <w:szCs w:val="26"/>
              <w:rtl/>
            </w:rPr>
          </w:pPr>
          <w:sdt>
            <w:sdtPr>
              <w:rPr>
                <w:rtl/>
              </w:rPr>
              <w:alias w:val="1170"/>
              <w:tag w:val="1170"/>
              <w:id w:val="1066377040"/>
              <w:text w:multiLine="1"/>
            </w:sdtPr>
            <w:sdtEndPr/>
            <w:sdtContent>
              <w:r w:rsidR="00B859C5">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61917-06-23</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ח</w:t>
              </w:r>
              <w:r w:rsidR="00596AF2">
                <w:rPr>
                  <w:rFonts w:hint="cs"/>
                  <w:b/>
                  <w:bCs/>
                  <w:noProof w:val="0"/>
                  <w:sz w:val="26"/>
                  <w:szCs w:val="26"/>
                  <w:rtl/>
                </w:rPr>
                <w:t>'</w:t>
              </w:r>
              <w:r w:rsidR="00B859C5">
                <w:rPr>
                  <w:b/>
                  <w:bCs/>
                  <w:noProof w:val="0"/>
                  <w:sz w:val="26"/>
                  <w:szCs w:val="26"/>
                  <w:rtl/>
                </w:rPr>
                <w:t xml:space="preserve"> נ' ח</w:t>
              </w:r>
              <w:r w:rsidR="00596AF2">
                <w:rPr>
                  <w:rFonts w:hint="cs"/>
                  <w:b/>
                  <w:bCs/>
                  <w:noProof w:val="0"/>
                  <w:sz w:val="26"/>
                  <w:szCs w:val="26"/>
                  <w:rtl/>
                </w:rPr>
                <w:t>'</w:t>
              </w:r>
              <w:r w:rsidR="00B859C5">
                <w:rPr>
                  <w:b/>
                  <w:bCs/>
                  <w:noProof w:val="0"/>
                  <w:sz w:val="26"/>
                  <w:szCs w:val="26"/>
                  <w:rtl/>
                </w:rPr>
                <w:t xml:space="preserve">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7D45E3" w:rsidP="00732FCC">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3C56F0"/>
    <w:multiLevelType w:val="hybridMultilevel"/>
    <w:tmpl w:val="2220998E"/>
    <w:lvl w:ilvl="0" w:tplc="78ACBE24">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FDD5349"/>
    <w:multiLevelType w:val="hybridMultilevel"/>
    <w:tmpl w:val="2F1CB442"/>
    <w:lvl w:ilvl="0" w:tplc="312269E0">
      <w:start w:val="1"/>
      <w:numFmt w:val="decimal"/>
      <w:lvlText w:val="%1."/>
      <w:lvlJc w:val="left"/>
      <w:pPr>
        <w:ind w:left="720" w:hanging="360"/>
      </w:pPr>
      <w:rPr>
        <w:rFonts w:ascii="Arial" w:hAnsi="Arial"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5C39AA"/>
    <w:multiLevelType w:val="hybridMultilevel"/>
    <w:tmpl w:val="2048E2CE"/>
    <w:lvl w:ilvl="0" w:tplc="E0C8E3BC">
      <w:start w:val="1"/>
      <w:numFmt w:val="hebrew1"/>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532E65AA"/>
    <w:multiLevelType w:val="hybridMultilevel"/>
    <w:tmpl w:val="91200C9C"/>
    <w:lvl w:ilvl="0" w:tplc="1E6ED8E2">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E35DD2"/>
    <w:multiLevelType w:val="hybridMultilevel"/>
    <w:tmpl w:val="208863F4"/>
    <w:lvl w:ilvl="0" w:tplc="F4D2E6F0">
      <w:start w:val="1"/>
      <w:numFmt w:val="hebrew1"/>
      <w:lvlText w:val="%1."/>
      <w:lvlJc w:val="left"/>
      <w:pPr>
        <w:ind w:left="786" w:hanging="360"/>
      </w:pPr>
      <w:rPr>
        <w:b w:val="0"/>
        <w:bCs w:val="0"/>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5" w15:restartNumberingAfterBreak="0">
    <w:nsid w:val="77901978"/>
    <w:multiLevelType w:val="hybridMultilevel"/>
    <w:tmpl w:val="ED6E509C"/>
    <w:lvl w:ilvl="0" w:tplc="7666AA46">
      <w:start w:val="2"/>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2"/>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375940"/>
    <w:docVar w:name="CourtID" w:val="13"/>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0375940&amp;lt;/CaseID&amp;gt;_x000d__x000a_        &amp;lt;DocumentID&amp;gt;418239834&amp;lt;/DocumentID&amp;gt;_x000d__x000a_      &amp;lt;/dt_DocumentCase&amp;gt;_x000d__x000a_      &amp;lt;dt_Document diffgr:id=&amp;quot;dt_Document1&amp;quot; msdata:rowOrder=&amp;quot;0&amp;quot;&amp;gt;_x000d__x000a_        &amp;lt;DocumentID&amp;gt;418239834&amp;lt;/DocumentID&amp;gt;_x000d__x000a_        &amp;lt;DocumentMainID&amp;gt;0&amp;lt;/DocumentMainID&amp;gt;_x000d__x000a_        &amp;lt;CaseID&amp;gt;80375940&amp;lt;/CaseID&amp;gt;_x000d__x000a_        &amp;lt;DocumentIncludedDate&amp;gt;2023-07-30T13:53:48.777+03:00&amp;lt;/DocumentIncludedDate&amp;gt;_x000d__x000a_        &amp;lt;DocumentDesc&amp;gt;פסק דין  שניתנה ע&amp;quot;י  אספרנצה אלון&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7-30T13:53:48.777+03:00&amp;lt;/DocumentSavingDate&amp;gt;_x000d__x000a_        &amp;lt;DocumentChangeDate&amp;gt;2023-07-30T13:53:48.917+03:00&amp;lt;/DocumentChangeDate&amp;gt;_x000d__x000a_        &amp;lt;IsScanned&amp;gt;false&amp;lt;/IsScanned&amp;gt;_x000d__x000a_        &amp;lt;PageQuantity&amp;gt;0&amp;lt;/PageQuantity&amp;gt;_x000d__x000a_        &amp;lt;DocumentStatusID&amp;gt;2&amp;lt;/DocumentStatusID&amp;gt;_x000d__x000a_        &amp;lt;DocumentStatusChangeDate&amp;gt;2023-07-30T13:53:48.917+03:00&amp;lt;/DocumentStatusChangeDate&amp;gt;_x000d__x000a_        &amp;lt;TemplateVersionID&amp;gt;1&amp;lt;/TemplateVersionID&amp;gt;_x000d__x000a_        &amp;lt;DocumentChangeUserID&amp;gt;057955775@GOV.IL&amp;lt;/DocumentChangeUserID&amp;gt;_x000d__x000a_        &amp;lt;DocumentCreationUserID&amp;gt;057955775@GOV.IL&amp;lt;/DocumentCreationUserID&amp;gt;_x000d__x000a_        &amp;lt;OriginalDocumentID&amp;gt;417257080&amp;lt;/OriginalDocumentID&amp;gt;_x000d__x000a_        &amp;lt;PrivillegeID&amp;gt;2&amp;lt;/PrivillegeID&amp;gt;_x000d__x000a_        &amp;lt;FromPage&amp;gt;0&amp;lt;/FromPage&amp;gt;_x000d__x000a_        &amp;lt;ToPage&amp;gt;0&amp;lt;/ToPage&amp;gt;_x000d__x000a_        &amp;lt;FileID&amp;gt;d9d56ea689010000090037f6a7637c01&amp;lt;/FileID&amp;gt;_x000d__x000a_        &amp;lt;URL&amp;gt;\\CTLNFSV02\doc_repository\147\194\4416ec1c44a7409aa7a6da1ce5470800_copy.docx&amp;lt;/URL&amp;gt;_x000d__x000a_        &amp;lt;OlivePriority&amp;gt;1&amp;lt;/OlivePriority&amp;gt;_x000d__x000a_        &amp;lt;MetaDataTypeID&amp;gt;1&amp;lt;/MetaDataTypeID&amp;gt;_x000d__x000a_        &amp;lt;MetaDataChangeDate&amp;gt;2023-07-30T13:53:48.91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אספרנצה אלון&amp;amp;lt;/anyType&amp;amp;gt;_x000d__x000a_    &amp;amp;lt;anyType xsi:type=&amp;quot;xsd:dateTime&amp;quot;&amp;amp;gt;2023-07-30T13:51:18.9565531&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7-30T13:51:18.957+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05FD5"/>
    <w:rsid w:val="000529D2"/>
    <w:rsid w:val="000564AB"/>
    <w:rsid w:val="00064FBD"/>
    <w:rsid w:val="00082AB2"/>
    <w:rsid w:val="000906FE"/>
    <w:rsid w:val="00096AF7"/>
    <w:rsid w:val="000B0D54"/>
    <w:rsid w:val="000B344B"/>
    <w:rsid w:val="000C3B0F"/>
    <w:rsid w:val="000C3B60"/>
    <w:rsid w:val="000E0DD2"/>
    <w:rsid w:val="000E3AF1"/>
    <w:rsid w:val="000F0BC8"/>
    <w:rsid w:val="000F0DD6"/>
    <w:rsid w:val="00103B05"/>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3125D"/>
    <w:rsid w:val="0043502B"/>
    <w:rsid w:val="004443AC"/>
    <w:rsid w:val="00444B02"/>
    <w:rsid w:val="00451E28"/>
    <w:rsid w:val="00462C62"/>
    <w:rsid w:val="00465D36"/>
    <w:rsid w:val="004A3531"/>
    <w:rsid w:val="004B25DE"/>
    <w:rsid w:val="004C17EE"/>
    <w:rsid w:val="004C4BDF"/>
    <w:rsid w:val="004D1187"/>
    <w:rsid w:val="004D3AA0"/>
    <w:rsid w:val="004E1987"/>
    <w:rsid w:val="004E2E15"/>
    <w:rsid w:val="004E6E3C"/>
    <w:rsid w:val="00520898"/>
    <w:rsid w:val="00523621"/>
    <w:rsid w:val="00524986"/>
    <w:rsid w:val="005268F6"/>
    <w:rsid w:val="00534284"/>
    <w:rsid w:val="00542AF7"/>
    <w:rsid w:val="00547DB7"/>
    <w:rsid w:val="00557717"/>
    <w:rsid w:val="00576A86"/>
    <w:rsid w:val="00596AF2"/>
    <w:rsid w:val="005C0B67"/>
    <w:rsid w:val="005F4F09"/>
    <w:rsid w:val="00603F73"/>
    <w:rsid w:val="0061431B"/>
    <w:rsid w:val="00622BAA"/>
    <w:rsid w:val="006306CF"/>
    <w:rsid w:val="00644E9A"/>
    <w:rsid w:val="00671BD5"/>
    <w:rsid w:val="006805C1"/>
    <w:rsid w:val="00686C21"/>
    <w:rsid w:val="006931C1"/>
    <w:rsid w:val="00694556"/>
    <w:rsid w:val="006B11BC"/>
    <w:rsid w:val="006C2BE2"/>
    <w:rsid w:val="006C30C5"/>
    <w:rsid w:val="006D3B31"/>
    <w:rsid w:val="006E0D96"/>
    <w:rsid w:val="006E1A53"/>
    <w:rsid w:val="006F56E6"/>
    <w:rsid w:val="00704EDA"/>
    <w:rsid w:val="00707870"/>
    <w:rsid w:val="00721122"/>
    <w:rsid w:val="00732FCC"/>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35A5"/>
    <w:rsid w:val="00844318"/>
    <w:rsid w:val="0085111F"/>
    <w:rsid w:val="00852EDD"/>
    <w:rsid w:val="00860102"/>
    <w:rsid w:val="008611F0"/>
    <w:rsid w:val="00863F5D"/>
    <w:rsid w:val="00870890"/>
    <w:rsid w:val="00873602"/>
    <w:rsid w:val="00875D12"/>
    <w:rsid w:val="00876170"/>
    <w:rsid w:val="0088023D"/>
    <w:rsid w:val="0088479D"/>
    <w:rsid w:val="00891F42"/>
    <w:rsid w:val="00896889"/>
    <w:rsid w:val="008A6E97"/>
    <w:rsid w:val="008C5714"/>
    <w:rsid w:val="008D10B2"/>
    <w:rsid w:val="008F294F"/>
    <w:rsid w:val="00903896"/>
    <w:rsid w:val="00906F3D"/>
    <w:rsid w:val="0094424E"/>
    <w:rsid w:val="00955642"/>
    <w:rsid w:val="009622DF"/>
    <w:rsid w:val="0096493F"/>
    <w:rsid w:val="00965971"/>
    <w:rsid w:val="00967DFF"/>
    <w:rsid w:val="00994341"/>
    <w:rsid w:val="009C2F46"/>
    <w:rsid w:val="009D1A48"/>
    <w:rsid w:val="009E1CE7"/>
    <w:rsid w:val="009E3628"/>
    <w:rsid w:val="009E461A"/>
    <w:rsid w:val="009E4EA5"/>
    <w:rsid w:val="009F164B"/>
    <w:rsid w:val="009F323C"/>
    <w:rsid w:val="00A3392B"/>
    <w:rsid w:val="00A46717"/>
    <w:rsid w:val="00A84D6D"/>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A5207"/>
    <w:rsid w:val="00BB3D05"/>
    <w:rsid w:val="00BB53D3"/>
    <w:rsid w:val="00BB73BE"/>
    <w:rsid w:val="00BC2D89"/>
    <w:rsid w:val="00BD003C"/>
    <w:rsid w:val="00BD17B8"/>
    <w:rsid w:val="00BD6531"/>
    <w:rsid w:val="00BE05B2"/>
    <w:rsid w:val="00BE43A0"/>
    <w:rsid w:val="00BF1908"/>
    <w:rsid w:val="00C005FF"/>
    <w:rsid w:val="00C22D93"/>
    <w:rsid w:val="00C23458"/>
    <w:rsid w:val="00C23AC9"/>
    <w:rsid w:val="00C31120"/>
    <w:rsid w:val="00C34482"/>
    <w:rsid w:val="00C43648"/>
    <w:rsid w:val="00C50A9F"/>
    <w:rsid w:val="00C642FA"/>
    <w:rsid w:val="00C65BBC"/>
    <w:rsid w:val="00C770E3"/>
    <w:rsid w:val="00C8681C"/>
    <w:rsid w:val="00CA1A54"/>
    <w:rsid w:val="00CA3B29"/>
    <w:rsid w:val="00CC7622"/>
    <w:rsid w:val="00CD608F"/>
    <w:rsid w:val="00CF6BB7"/>
    <w:rsid w:val="00D04AA4"/>
    <w:rsid w:val="00D27982"/>
    <w:rsid w:val="00D33B86"/>
    <w:rsid w:val="00D44968"/>
    <w:rsid w:val="00D53924"/>
    <w:rsid w:val="00D55D0C"/>
    <w:rsid w:val="00D66027"/>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74249"/>
    <w:rsid w:val="00E75DD3"/>
    <w:rsid w:val="00E80CBE"/>
    <w:rsid w:val="00E8440F"/>
    <w:rsid w:val="00E9269D"/>
    <w:rsid w:val="00E962E3"/>
    <w:rsid w:val="00EB6100"/>
    <w:rsid w:val="00EB6C79"/>
    <w:rsid w:val="00EC37E9"/>
    <w:rsid w:val="00F038D8"/>
    <w:rsid w:val="00F06995"/>
    <w:rsid w:val="00F12D66"/>
    <w:rsid w:val="00F13623"/>
    <w:rsid w:val="00F44D1D"/>
    <w:rsid w:val="00F84B6D"/>
    <w:rsid w:val="00F957E8"/>
    <w:rsid w:val="00FA311A"/>
    <w:rsid w:val="00FA5FDA"/>
    <w:rsid w:val="00FB6AB3"/>
    <w:rsid w:val="00FC6E2D"/>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965971"/>
    <w:pPr>
      <w:ind w:left="720"/>
      <w:contextualSpacing/>
    </w:pPr>
    <w:rPr>
      <w:rFonts w:ascii="Calibri" w:eastAsiaTheme="minorHAnsi" w:hAnsi="Calibri" w:cs="Calibr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81622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111582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1410F1BE3C834CB6B99C257F82493DA1"/>
        <w:category>
          <w:name w:val="כללי"/>
          <w:gallery w:val="placeholder"/>
        </w:category>
        <w:types>
          <w:type w:val="bbPlcHdr"/>
        </w:types>
        <w:behaviors>
          <w:behavior w:val="content"/>
        </w:behaviors>
        <w:guid w:val="{57A3825A-8E0A-4B8D-84B4-BED74DA213A0}"/>
      </w:docPartPr>
      <w:docPartBody>
        <w:p w:rsidR="0067083C" w:rsidRDefault="00151D9B" w:rsidP="00151D9B">
          <w:pPr>
            <w:pStyle w:val="1410F1BE3C834CB6B99C257F82493DA1"/>
          </w:pPr>
          <w:r>
            <w:rPr>
              <w:rFonts w:ascii="Arial" w:hAnsi="Arial" w:hint="eastAsia"/>
              <w:b/>
              <w:bCs/>
              <w:sz w:val="26"/>
              <w:szCs w:val="26"/>
              <w:rtl/>
            </w:rPr>
            <w:t>שם</w:t>
          </w:r>
          <w:r>
            <w:rPr>
              <w:rFonts w:ascii="Arial" w:hAnsi="Arial"/>
              <w:b/>
              <w:bCs/>
              <w:sz w:val="26"/>
              <w:szCs w:val="26"/>
              <w:rtl/>
            </w:rPr>
            <w:t xml:space="preserve"> צד ב' ללא שם של חסוי</w:t>
          </w:r>
        </w:p>
      </w:docPartBody>
    </w:docPart>
    <w:docPart>
      <w:docPartPr>
        <w:name w:val="B6F54F3CA9BF498A82DA9CB283BE2F59"/>
        <w:category>
          <w:name w:val="כללי"/>
          <w:gallery w:val="placeholder"/>
        </w:category>
        <w:types>
          <w:type w:val="bbPlcHdr"/>
        </w:types>
        <w:behaviors>
          <w:behavior w:val="content"/>
        </w:behaviors>
        <w:guid w:val="{D514F0A0-37A9-4FEC-BCD8-B99ED5EEF6C2}"/>
      </w:docPartPr>
      <w:docPartBody>
        <w:p w:rsidR="00F90D49" w:rsidRDefault="005D3DA1" w:rsidP="005D3DA1">
          <w:pPr>
            <w:pStyle w:val="B6F54F3CA9BF498A82DA9CB283BE2F59"/>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51D9B"/>
    <w:rsid w:val="002D02C4"/>
    <w:rsid w:val="00345C9D"/>
    <w:rsid w:val="0048651F"/>
    <w:rsid w:val="005067BD"/>
    <w:rsid w:val="005157ED"/>
    <w:rsid w:val="005171E8"/>
    <w:rsid w:val="00556D67"/>
    <w:rsid w:val="005D3DA1"/>
    <w:rsid w:val="0067083C"/>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A6B69"/>
    <w:rsid w:val="00CE1DCB"/>
    <w:rsid w:val="00D24521"/>
    <w:rsid w:val="00E31BF6"/>
    <w:rsid w:val="00E607DB"/>
    <w:rsid w:val="00E81DB1"/>
    <w:rsid w:val="00F00DF8"/>
    <w:rsid w:val="00F04DC1"/>
    <w:rsid w:val="00F678CA"/>
    <w:rsid w:val="00F90D49"/>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067BD"/>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5067BD"/>
    <w:pPr>
      <w:bidi/>
      <w:spacing w:after="0" w:line="240" w:lineRule="auto"/>
    </w:pPr>
    <w:rPr>
      <w:rFonts w:ascii="Times New Roman" w:eastAsia="Times New Roman" w:hAnsi="Times New Roman" w:cs="David"/>
      <w:noProof/>
      <w:sz w:val="24"/>
      <w:szCs w:val="24"/>
    </w:rPr>
  </w:style>
  <w:style w:type="paragraph" w:customStyle="1" w:styleId="1410F1BE3C834CB6B99C257F82493DA1">
    <w:name w:val="1410F1BE3C834CB6B99C257F82493DA1"/>
    <w:rsid w:val="00151D9B"/>
    <w:pPr>
      <w:bidi/>
      <w:spacing w:after="160" w:line="259" w:lineRule="auto"/>
    </w:pPr>
  </w:style>
  <w:style w:type="paragraph" w:customStyle="1" w:styleId="B6F54F3CA9BF498A82DA9CB283BE2F59">
    <w:name w:val="B6F54F3CA9BF498A82DA9CB283BE2F59"/>
    <w:rsid w:val="005D3DA1"/>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7D8DC-9005-45D6-8D81-E38B5CB8E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1126</Words>
  <Characters>5630</Characters>
  <Application>Microsoft Office Word</Application>
  <DocSecurity>0</DocSecurity>
  <Lines>46</Lines>
  <Paragraphs>13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2023-07-30T10:46:00Z</cp:lastPrinted>
  <dcterms:created xsi:type="dcterms:W3CDTF">2023-08-06T05:29:00Z</dcterms:created>
  <dcterms:modified xsi:type="dcterms:W3CDTF">2023-08-06T05:29:00Z</dcterms:modified>
</cp:coreProperties>
</file>